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1E612" w14:textId="77777777" w:rsidR="00AE4948" w:rsidRDefault="007A5905" w:rsidP="00AE4948">
      <w:pPr>
        <w:tabs>
          <w:tab w:val="left" w:pos="1650"/>
        </w:tabs>
        <w:rPr>
          <w:noProof/>
          <w:lang w:eastAsia="en-CA"/>
        </w:rPr>
      </w:pPr>
      <w:r>
        <w:rPr>
          <w:noProof/>
          <w:lang w:eastAsia="en-CA"/>
        </w:rPr>
        <w:drawing>
          <wp:anchor distT="0" distB="0" distL="114300" distR="114300" simplePos="0" relativeHeight="251658240" behindDoc="1" locked="0" layoutInCell="1" allowOverlap="1" wp14:anchorId="4E2854CB" wp14:editId="79E2B3EB">
            <wp:simplePos x="0" y="0"/>
            <wp:positionH relativeFrom="page">
              <wp:posOffset>-93345</wp:posOffset>
            </wp:positionH>
            <wp:positionV relativeFrom="page">
              <wp:posOffset>-57150</wp:posOffset>
            </wp:positionV>
            <wp:extent cx="7894440" cy="10215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Cov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94440" cy="10215360"/>
                    </a:xfrm>
                    <a:prstGeom prst="rect">
                      <a:avLst/>
                    </a:prstGeom>
                  </pic:spPr>
                </pic:pic>
              </a:graphicData>
            </a:graphic>
            <wp14:sizeRelH relativeFrom="margin">
              <wp14:pctWidth>0</wp14:pctWidth>
            </wp14:sizeRelH>
            <wp14:sizeRelV relativeFrom="margin">
              <wp14:pctHeight>0</wp14:pctHeight>
            </wp14:sizeRelV>
          </wp:anchor>
        </w:drawing>
      </w:r>
    </w:p>
    <w:p w14:paraId="2E341B94" w14:textId="77777777" w:rsidR="00AE4948" w:rsidRDefault="00AE4948">
      <w:pPr>
        <w:rPr>
          <w:noProof/>
          <w:lang w:eastAsia="en-CA"/>
        </w:rPr>
      </w:pPr>
      <w:r w:rsidRPr="00AE4948">
        <w:rPr>
          <w:noProof/>
          <w:lang w:eastAsia="en-CA"/>
        </w:rPr>
        <mc:AlternateContent>
          <mc:Choice Requires="wps">
            <w:drawing>
              <wp:anchor distT="45720" distB="45720" distL="114300" distR="114300" simplePos="0" relativeHeight="251660288" behindDoc="0" locked="0" layoutInCell="1" allowOverlap="1" wp14:anchorId="360C4E10" wp14:editId="0E0A34C4">
                <wp:simplePos x="0" y="0"/>
                <wp:positionH relativeFrom="page">
                  <wp:align>center</wp:align>
                </wp:positionH>
                <wp:positionV relativeFrom="page">
                  <wp:posOffset>4882515</wp:posOffset>
                </wp:positionV>
                <wp:extent cx="3669665" cy="100330"/>
                <wp:effectExtent l="0" t="0" r="6985"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100330"/>
                        </a:xfrm>
                        <a:prstGeom prst="rect">
                          <a:avLst/>
                        </a:prstGeom>
                        <a:solidFill>
                          <a:srgbClr val="FFFFFF"/>
                        </a:solidFill>
                        <a:ln w="9525">
                          <a:noFill/>
                          <a:miter lim="800000"/>
                          <a:headEnd/>
                          <a:tailEnd/>
                        </a:ln>
                      </wps:spPr>
                      <wps:txbx>
                        <w:txbxContent>
                          <w:p w14:paraId="6CA0413C" w14:textId="1CEBF95B" w:rsidR="00672516" w:rsidRDefault="007862EB" w:rsidP="00EE1EC9">
                            <w:pPr>
                              <w:jc w:val="center"/>
                              <w:rPr>
                                <w:rFonts w:ascii="Lato Light" w:hAnsi="Lato Light"/>
                                <w:color w:val="00425E"/>
                                <w:sz w:val="44"/>
                                <w:szCs w:val="44"/>
                              </w:rPr>
                            </w:pPr>
                            <w:r>
                              <w:rPr>
                                <w:rFonts w:ascii="Lato Light" w:hAnsi="Lato Light"/>
                                <w:color w:val="00425E"/>
                                <w:sz w:val="44"/>
                                <w:szCs w:val="44"/>
                              </w:rPr>
                              <w:t>Draft Estimates</w:t>
                            </w:r>
                            <w:r w:rsidR="00672516">
                              <w:rPr>
                                <w:rFonts w:ascii="Lato Light" w:hAnsi="Lato Light"/>
                                <w:color w:val="00425E"/>
                                <w:sz w:val="44"/>
                                <w:szCs w:val="44"/>
                              </w:rPr>
                              <w:t xml:space="preserve"> Budget</w:t>
                            </w:r>
                          </w:p>
                          <w:p w14:paraId="4E208DD8" w14:textId="259540D4" w:rsidR="00672516" w:rsidRPr="00EE1EC9" w:rsidRDefault="00672516" w:rsidP="00EE1EC9">
                            <w:pPr>
                              <w:jc w:val="center"/>
                              <w:rPr>
                                <w:rFonts w:ascii="Lato Light" w:hAnsi="Lato Light"/>
                                <w:color w:val="00425E"/>
                                <w:sz w:val="44"/>
                                <w:szCs w:val="44"/>
                              </w:rPr>
                            </w:pPr>
                            <w:r>
                              <w:rPr>
                                <w:rFonts w:ascii="Lato Light" w:hAnsi="Lato Light"/>
                                <w:color w:val="00425E"/>
                                <w:sz w:val="44"/>
                                <w:szCs w:val="44"/>
                              </w:rPr>
                              <w:t>202</w:t>
                            </w:r>
                            <w:r w:rsidR="00B0429B">
                              <w:rPr>
                                <w:rFonts w:ascii="Lato Light" w:hAnsi="Lato Light"/>
                                <w:color w:val="00425E"/>
                                <w:sz w:val="44"/>
                                <w:szCs w:val="44"/>
                              </w:rPr>
                              <w:t>2</w:t>
                            </w:r>
                            <w:r>
                              <w:rPr>
                                <w:rFonts w:ascii="Lato Light" w:hAnsi="Lato Light"/>
                                <w:color w:val="00425E"/>
                                <w:sz w:val="44"/>
                                <w:szCs w:val="44"/>
                              </w:rPr>
                              <w:t>-202</w:t>
                            </w:r>
                            <w:r w:rsidR="00B0429B">
                              <w:rPr>
                                <w:rFonts w:ascii="Lato Light" w:hAnsi="Lato Light"/>
                                <w:color w:val="00425E"/>
                                <w:sz w:val="44"/>
                                <w:szCs w:val="44"/>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0C4E10" id="_x0000_t202" coordsize="21600,21600" o:spt="202" path="m,l,21600r21600,l21600,xe">
                <v:stroke joinstyle="miter"/>
                <v:path gradientshapeok="t" o:connecttype="rect"/>
              </v:shapetype>
              <v:shape id="Text Box 2" o:spid="_x0000_s1026" type="#_x0000_t202" style="position:absolute;margin-left:0;margin-top:384.45pt;width:288.95pt;height:7.9pt;z-index:251660288;visibility:visible;mso-wrap-style:square;mso-width-percent:0;mso-height-percent:200;mso-wrap-distance-left:9pt;mso-wrap-distance-top:3.6pt;mso-wrap-distance-right:9pt;mso-wrap-distance-bottom:3.6pt;mso-position-horizontal:center;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" stroked="f">
                <v:textbox style="mso-fit-shape-to-text:t">
                  <w:txbxContent>
                    <w:p w14:paraId="6CA0413C" w14:textId="1CEBF95B" w:rsidR="00672516" w:rsidRDefault="007862EB" w:rsidP="00EE1EC9">
                      <w:pPr>
                        <w:jc w:val="center"/>
                        <w:rPr>
                          <w:rFonts w:ascii="Lato Light" w:hAnsi="Lato Light"/>
                          <w:color w:val="00425E"/>
                          <w:sz w:val="44"/>
                          <w:szCs w:val="44"/>
                        </w:rPr>
                      </w:pPr>
                      <w:r>
                        <w:rPr>
                          <w:rFonts w:ascii="Lato Light" w:hAnsi="Lato Light"/>
                          <w:color w:val="00425E"/>
                          <w:sz w:val="44"/>
                          <w:szCs w:val="44"/>
                        </w:rPr>
                        <w:t>Draft Estimates</w:t>
                      </w:r>
                      <w:r w:rsidR="00672516">
                        <w:rPr>
                          <w:rFonts w:ascii="Lato Light" w:hAnsi="Lato Light"/>
                          <w:color w:val="00425E"/>
                          <w:sz w:val="44"/>
                          <w:szCs w:val="44"/>
                        </w:rPr>
                        <w:t xml:space="preserve"> Budget</w:t>
                      </w:r>
                    </w:p>
                    <w:p w14:paraId="4E208DD8" w14:textId="259540D4" w:rsidR="00672516" w:rsidRPr="00EE1EC9" w:rsidRDefault="00672516" w:rsidP="00EE1EC9">
                      <w:pPr>
                        <w:jc w:val="center"/>
                        <w:rPr>
                          <w:rFonts w:ascii="Lato Light" w:hAnsi="Lato Light"/>
                          <w:color w:val="00425E"/>
                          <w:sz w:val="44"/>
                          <w:szCs w:val="44"/>
                        </w:rPr>
                      </w:pPr>
                      <w:r>
                        <w:rPr>
                          <w:rFonts w:ascii="Lato Light" w:hAnsi="Lato Light"/>
                          <w:color w:val="00425E"/>
                          <w:sz w:val="44"/>
                          <w:szCs w:val="44"/>
                        </w:rPr>
                        <w:t>202</w:t>
                      </w:r>
                      <w:r w:rsidR="00B0429B">
                        <w:rPr>
                          <w:rFonts w:ascii="Lato Light" w:hAnsi="Lato Light"/>
                          <w:color w:val="00425E"/>
                          <w:sz w:val="44"/>
                          <w:szCs w:val="44"/>
                        </w:rPr>
                        <w:t>2</w:t>
                      </w:r>
                      <w:r>
                        <w:rPr>
                          <w:rFonts w:ascii="Lato Light" w:hAnsi="Lato Light"/>
                          <w:color w:val="00425E"/>
                          <w:sz w:val="44"/>
                          <w:szCs w:val="44"/>
                        </w:rPr>
                        <w:t>-202</w:t>
                      </w:r>
                      <w:r w:rsidR="00B0429B">
                        <w:rPr>
                          <w:rFonts w:ascii="Lato Light" w:hAnsi="Lato Light"/>
                          <w:color w:val="00425E"/>
                          <w:sz w:val="44"/>
                          <w:szCs w:val="44"/>
                        </w:rPr>
                        <w:t>3</w:t>
                      </w:r>
                    </w:p>
                  </w:txbxContent>
                </v:textbox>
                <w10:wrap type="square" anchorx="page" anchory="page"/>
              </v:shape>
            </w:pict>
          </mc:Fallback>
        </mc:AlternateContent>
      </w:r>
      <w:r>
        <w:rPr>
          <w:noProof/>
          <w:lang w:eastAsia="en-CA"/>
        </w:rPr>
        <w:br w:type="page"/>
      </w:r>
    </w:p>
    <w:p w14:paraId="2012CAD8" w14:textId="77777777" w:rsidR="00C910C6" w:rsidRDefault="00C910C6" w:rsidP="00AE4948">
      <w:pPr>
        <w:tabs>
          <w:tab w:val="left" w:pos="1650"/>
        </w:tabs>
        <w:rPr>
          <w:noProof/>
          <w:lang w:eastAsia="en-CA"/>
        </w:rPr>
        <w:sectPr w:rsidR="00C910C6" w:rsidSect="00977A2B">
          <w:headerReference w:type="even" r:id="rId12"/>
          <w:headerReference w:type="default" r:id="rId13"/>
          <w:footerReference w:type="even" r:id="rId14"/>
          <w:footerReference w:type="default" r:id="rId15"/>
          <w:headerReference w:type="first" r:id="rId16"/>
          <w:footerReference w:type="first" r:id="rId17"/>
          <w:type w:val="continuous"/>
          <w:pgSz w:w="12240" w:h="15840"/>
          <w:pgMar w:top="233" w:right="233" w:bottom="233" w:left="233" w:header="709" w:footer="709" w:gutter="0"/>
          <w:cols w:space="708"/>
          <w:titlePg/>
          <w:docGrid w:linePitch="360"/>
        </w:sectPr>
      </w:pPr>
      <w:r>
        <w:rPr>
          <w:noProof/>
          <w:lang w:eastAsia="en-CA"/>
        </w:rPr>
        <w:lastRenderedPageBreak/>
        <w:t xml:space="preserve"> </w:t>
      </w:r>
    </w:p>
    <w:sdt>
      <w:sdtPr>
        <w:rPr>
          <w:rFonts w:asciiTheme="minorHAnsi" w:eastAsiaTheme="minorHAnsi" w:hAnsiTheme="minorHAnsi" w:cstheme="minorBidi"/>
          <w:color w:val="auto"/>
          <w:sz w:val="22"/>
          <w:szCs w:val="22"/>
          <w:lang w:val="en-CA"/>
        </w:rPr>
        <w:id w:val="-1502357275"/>
        <w:docPartObj>
          <w:docPartGallery w:val="Table of Contents"/>
          <w:docPartUnique/>
        </w:docPartObj>
      </w:sdtPr>
      <w:sdtEndPr>
        <w:rPr>
          <w:b/>
          <w:bCs/>
          <w:noProof/>
        </w:rPr>
      </w:sdtEndPr>
      <w:sdtContent>
        <w:p w14:paraId="370E0B3D" w14:textId="4CC596DF" w:rsidR="00FC2BB1" w:rsidRDefault="00FC2BB1">
          <w:pPr>
            <w:pStyle w:val="TOCHeading"/>
          </w:pPr>
          <w:r>
            <w:t>Contents</w:t>
          </w:r>
        </w:p>
        <w:p w14:paraId="3E0A413A" w14:textId="2C3B2340" w:rsidR="00D9247C" w:rsidRDefault="00FC2BB1">
          <w:pPr>
            <w:pStyle w:val="TOC1"/>
            <w:tabs>
              <w:tab w:val="right" w:leader="dot" w:pos="10070"/>
            </w:tabs>
            <w:rPr>
              <w:rFonts w:eastAsiaTheme="minorEastAsia"/>
              <w:noProof/>
              <w:lang w:eastAsia="en-CA"/>
            </w:rPr>
          </w:pPr>
          <w:r>
            <w:fldChar w:fldCharType="begin"/>
          </w:r>
          <w:r>
            <w:instrText xml:space="preserve"> TOC \o "1-3" \h \z \u </w:instrText>
          </w:r>
          <w:r>
            <w:fldChar w:fldCharType="separate"/>
          </w:r>
          <w:hyperlink w:anchor="_Toc104628851" w:history="1">
            <w:r w:rsidR="00D9247C" w:rsidRPr="00B17B14">
              <w:rPr>
                <w:rStyle w:val="Hyperlink"/>
                <w:noProof/>
                <w:lang w:val="en-US"/>
              </w:rPr>
              <w:t>Budget Framework</w:t>
            </w:r>
            <w:r w:rsidR="00D9247C">
              <w:rPr>
                <w:noProof/>
                <w:webHidden/>
              </w:rPr>
              <w:tab/>
            </w:r>
            <w:r w:rsidR="00D9247C">
              <w:rPr>
                <w:noProof/>
                <w:webHidden/>
              </w:rPr>
              <w:fldChar w:fldCharType="begin"/>
            </w:r>
            <w:r w:rsidR="00D9247C">
              <w:rPr>
                <w:noProof/>
                <w:webHidden/>
              </w:rPr>
              <w:instrText xml:space="preserve"> PAGEREF _Toc104628851 \h </w:instrText>
            </w:r>
            <w:r w:rsidR="00D9247C">
              <w:rPr>
                <w:noProof/>
                <w:webHidden/>
              </w:rPr>
            </w:r>
            <w:r w:rsidR="00D9247C">
              <w:rPr>
                <w:noProof/>
                <w:webHidden/>
              </w:rPr>
              <w:fldChar w:fldCharType="separate"/>
            </w:r>
            <w:r w:rsidR="00A571E0">
              <w:rPr>
                <w:noProof/>
                <w:webHidden/>
              </w:rPr>
              <w:t>3</w:t>
            </w:r>
            <w:r w:rsidR="00D9247C">
              <w:rPr>
                <w:noProof/>
                <w:webHidden/>
              </w:rPr>
              <w:fldChar w:fldCharType="end"/>
            </w:r>
          </w:hyperlink>
        </w:p>
        <w:p w14:paraId="2A752570" w14:textId="3814D3A2" w:rsidR="00D9247C" w:rsidRDefault="005D019C">
          <w:pPr>
            <w:pStyle w:val="TOC1"/>
            <w:tabs>
              <w:tab w:val="right" w:leader="dot" w:pos="10070"/>
            </w:tabs>
            <w:rPr>
              <w:rFonts w:eastAsiaTheme="minorEastAsia"/>
              <w:noProof/>
              <w:lang w:eastAsia="en-CA"/>
            </w:rPr>
          </w:pPr>
          <w:hyperlink w:anchor="_Toc104628852" w:history="1">
            <w:r w:rsidR="00D9247C" w:rsidRPr="00B17B14">
              <w:rPr>
                <w:rStyle w:val="Hyperlink"/>
                <w:rFonts w:cstheme="majorHAnsi"/>
                <w:noProof/>
                <w:lang w:val="en-US"/>
              </w:rPr>
              <w:t>Highlights of the 2022-23 Grants for Students Needs</w:t>
            </w:r>
            <w:r w:rsidR="00D9247C">
              <w:rPr>
                <w:noProof/>
                <w:webHidden/>
              </w:rPr>
              <w:tab/>
            </w:r>
            <w:r w:rsidR="00D9247C">
              <w:rPr>
                <w:noProof/>
                <w:webHidden/>
              </w:rPr>
              <w:fldChar w:fldCharType="begin"/>
            </w:r>
            <w:r w:rsidR="00D9247C">
              <w:rPr>
                <w:noProof/>
                <w:webHidden/>
              </w:rPr>
              <w:instrText xml:space="preserve"> PAGEREF _Toc104628852 \h </w:instrText>
            </w:r>
            <w:r w:rsidR="00D9247C">
              <w:rPr>
                <w:noProof/>
                <w:webHidden/>
              </w:rPr>
            </w:r>
            <w:r w:rsidR="00D9247C">
              <w:rPr>
                <w:noProof/>
                <w:webHidden/>
              </w:rPr>
              <w:fldChar w:fldCharType="separate"/>
            </w:r>
            <w:r w:rsidR="00A571E0">
              <w:rPr>
                <w:noProof/>
                <w:webHidden/>
              </w:rPr>
              <w:t>4</w:t>
            </w:r>
            <w:r w:rsidR="00D9247C">
              <w:rPr>
                <w:noProof/>
                <w:webHidden/>
              </w:rPr>
              <w:fldChar w:fldCharType="end"/>
            </w:r>
          </w:hyperlink>
        </w:p>
        <w:p w14:paraId="6B2A0B95" w14:textId="3CD54642" w:rsidR="00D9247C" w:rsidRDefault="005D019C">
          <w:pPr>
            <w:pStyle w:val="TOC1"/>
            <w:tabs>
              <w:tab w:val="right" w:leader="dot" w:pos="10070"/>
            </w:tabs>
            <w:rPr>
              <w:rFonts w:eastAsiaTheme="minorEastAsia"/>
              <w:noProof/>
              <w:lang w:eastAsia="en-CA"/>
            </w:rPr>
          </w:pPr>
          <w:hyperlink w:anchor="_Toc104628853" w:history="1">
            <w:r w:rsidR="00D9247C" w:rsidRPr="00B17B14">
              <w:rPr>
                <w:rStyle w:val="Hyperlink"/>
                <w:rFonts w:eastAsia="Calibri" w:cstheme="majorHAnsi"/>
                <w:noProof/>
                <w:lang w:val="en-US"/>
              </w:rPr>
              <w:t>Enrolment and Class Size</w:t>
            </w:r>
            <w:r w:rsidR="00D9247C">
              <w:rPr>
                <w:noProof/>
                <w:webHidden/>
              </w:rPr>
              <w:tab/>
            </w:r>
            <w:r w:rsidR="00D9247C">
              <w:rPr>
                <w:noProof/>
                <w:webHidden/>
              </w:rPr>
              <w:fldChar w:fldCharType="begin"/>
            </w:r>
            <w:r w:rsidR="00D9247C">
              <w:rPr>
                <w:noProof/>
                <w:webHidden/>
              </w:rPr>
              <w:instrText xml:space="preserve"> PAGEREF _Toc104628853 \h </w:instrText>
            </w:r>
            <w:r w:rsidR="00D9247C">
              <w:rPr>
                <w:noProof/>
                <w:webHidden/>
              </w:rPr>
            </w:r>
            <w:r w:rsidR="00D9247C">
              <w:rPr>
                <w:noProof/>
                <w:webHidden/>
              </w:rPr>
              <w:fldChar w:fldCharType="separate"/>
            </w:r>
            <w:r w:rsidR="00A571E0">
              <w:rPr>
                <w:noProof/>
                <w:webHidden/>
              </w:rPr>
              <w:t>7</w:t>
            </w:r>
            <w:r w:rsidR="00D9247C">
              <w:rPr>
                <w:noProof/>
                <w:webHidden/>
              </w:rPr>
              <w:fldChar w:fldCharType="end"/>
            </w:r>
          </w:hyperlink>
        </w:p>
        <w:p w14:paraId="470B416C" w14:textId="437EC806" w:rsidR="00D9247C" w:rsidRDefault="005D019C">
          <w:pPr>
            <w:pStyle w:val="TOC2"/>
            <w:tabs>
              <w:tab w:val="right" w:leader="dot" w:pos="10070"/>
            </w:tabs>
            <w:rPr>
              <w:rFonts w:eastAsiaTheme="minorEastAsia"/>
              <w:noProof/>
              <w:lang w:eastAsia="en-CA"/>
            </w:rPr>
          </w:pPr>
          <w:hyperlink w:anchor="_Toc104628854" w:history="1">
            <w:r w:rsidR="00D9247C" w:rsidRPr="00B17B14">
              <w:rPr>
                <w:rStyle w:val="Hyperlink"/>
                <w:noProof/>
              </w:rPr>
              <w:t>Elementary Enrolment Trending by Grade</w:t>
            </w:r>
            <w:r w:rsidR="00D9247C">
              <w:rPr>
                <w:noProof/>
                <w:webHidden/>
              </w:rPr>
              <w:tab/>
            </w:r>
            <w:r w:rsidR="00D9247C">
              <w:rPr>
                <w:noProof/>
                <w:webHidden/>
              </w:rPr>
              <w:fldChar w:fldCharType="begin"/>
            </w:r>
            <w:r w:rsidR="00D9247C">
              <w:rPr>
                <w:noProof/>
                <w:webHidden/>
              </w:rPr>
              <w:instrText xml:space="preserve"> PAGEREF _Toc104628854 \h </w:instrText>
            </w:r>
            <w:r w:rsidR="00D9247C">
              <w:rPr>
                <w:noProof/>
                <w:webHidden/>
              </w:rPr>
            </w:r>
            <w:r w:rsidR="00D9247C">
              <w:rPr>
                <w:noProof/>
                <w:webHidden/>
              </w:rPr>
              <w:fldChar w:fldCharType="separate"/>
            </w:r>
            <w:r w:rsidR="00A571E0">
              <w:rPr>
                <w:noProof/>
                <w:webHidden/>
              </w:rPr>
              <w:t>9</w:t>
            </w:r>
            <w:r w:rsidR="00D9247C">
              <w:rPr>
                <w:noProof/>
                <w:webHidden/>
              </w:rPr>
              <w:fldChar w:fldCharType="end"/>
            </w:r>
          </w:hyperlink>
        </w:p>
        <w:p w14:paraId="15D9B476" w14:textId="001EC825" w:rsidR="00D9247C" w:rsidRDefault="005D019C">
          <w:pPr>
            <w:pStyle w:val="TOC2"/>
            <w:tabs>
              <w:tab w:val="right" w:leader="dot" w:pos="10070"/>
            </w:tabs>
            <w:rPr>
              <w:rFonts w:eastAsiaTheme="minorEastAsia"/>
              <w:noProof/>
              <w:lang w:eastAsia="en-CA"/>
            </w:rPr>
          </w:pPr>
          <w:hyperlink w:anchor="_Toc104628855" w:history="1">
            <w:r w:rsidR="00D9247C" w:rsidRPr="00B17B14">
              <w:rPr>
                <w:rStyle w:val="Hyperlink"/>
                <w:noProof/>
              </w:rPr>
              <w:t>Elementary Global Enrolment Trending (ADE)</w:t>
            </w:r>
            <w:r w:rsidR="00D9247C">
              <w:rPr>
                <w:noProof/>
                <w:webHidden/>
              </w:rPr>
              <w:tab/>
            </w:r>
            <w:r w:rsidR="00D9247C">
              <w:rPr>
                <w:noProof/>
                <w:webHidden/>
              </w:rPr>
              <w:fldChar w:fldCharType="begin"/>
            </w:r>
            <w:r w:rsidR="00D9247C">
              <w:rPr>
                <w:noProof/>
                <w:webHidden/>
              </w:rPr>
              <w:instrText xml:space="preserve"> PAGEREF _Toc104628855 \h </w:instrText>
            </w:r>
            <w:r w:rsidR="00D9247C">
              <w:rPr>
                <w:noProof/>
                <w:webHidden/>
              </w:rPr>
            </w:r>
            <w:r w:rsidR="00D9247C">
              <w:rPr>
                <w:noProof/>
                <w:webHidden/>
              </w:rPr>
              <w:fldChar w:fldCharType="separate"/>
            </w:r>
            <w:r w:rsidR="00A571E0">
              <w:rPr>
                <w:noProof/>
                <w:webHidden/>
              </w:rPr>
              <w:t>10</w:t>
            </w:r>
            <w:r w:rsidR="00D9247C">
              <w:rPr>
                <w:noProof/>
                <w:webHidden/>
              </w:rPr>
              <w:fldChar w:fldCharType="end"/>
            </w:r>
          </w:hyperlink>
        </w:p>
        <w:p w14:paraId="5BECDFBE" w14:textId="481A1ADF" w:rsidR="00D9247C" w:rsidRDefault="005D019C">
          <w:pPr>
            <w:pStyle w:val="TOC2"/>
            <w:tabs>
              <w:tab w:val="right" w:leader="dot" w:pos="10070"/>
            </w:tabs>
            <w:rPr>
              <w:rFonts w:eastAsiaTheme="minorEastAsia"/>
              <w:noProof/>
              <w:lang w:eastAsia="en-CA"/>
            </w:rPr>
          </w:pPr>
          <w:hyperlink w:anchor="_Toc104628856" w:history="1">
            <w:r w:rsidR="00D9247C" w:rsidRPr="00B17B14">
              <w:rPr>
                <w:rStyle w:val="Hyperlink"/>
                <w:noProof/>
              </w:rPr>
              <w:t>Secondary Global Enrolment Trending (ADE)</w:t>
            </w:r>
            <w:r w:rsidR="00D9247C">
              <w:rPr>
                <w:noProof/>
                <w:webHidden/>
              </w:rPr>
              <w:tab/>
            </w:r>
            <w:r w:rsidR="00D9247C">
              <w:rPr>
                <w:noProof/>
                <w:webHidden/>
              </w:rPr>
              <w:fldChar w:fldCharType="begin"/>
            </w:r>
            <w:r w:rsidR="00D9247C">
              <w:rPr>
                <w:noProof/>
                <w:webHidden/>
              </w:rPr>
              <w:instrText xml:space="preserve"> PAGEREF _Toc104628856 \h </w:instrText>
            </w:r>
            <w:r w:rsidR="00D9247C">
              <w:rPr>
                <w:noProof/>
                <w:webHidden/>
              </w:rPr>
            </w:r>
            <w:r w:rsidR="00D9247C">
              <w:rPr>
                <w:noProof/>
                <w:webHidden/>
              </w:rPr>
              <w:fldChar w:fldCharType="separate"/>
            </w:r>
            <w:r w:rsidR="00A571E0">
              <w:rPr>
                <w:noProof/>
                <w:webHidden/>
              </w:rPr>
              <w:t>10</w:t>
            </w:r>
            <w:r w:rsidR="00D9247C">
              <w:rPr>
                <w:noProof/>
                <w:webHidden/>
              </w:rPr>
              <w:fldChar w:fldCharType="end"/>
            </w:r>
          </w:hyperlink>
        </w:p>
        <w:p w14:paraId="295063CD" w14:textId="7A434C89" w:rsidR="00D9247C" w:rsidRDefault="005D019C">
          <w:pPr>
            <w:pStyle w:val="TOC2"/>
            <w:tabs>
              <w:tab w:val="right" w:leader="dot" w:pos="10070"/>
            </w:tabs>
            <w:rPr>
              <w:rFonts w:eastAsiaTheme="minorEastAsia"/>
              <w:noProof/>
              <w:lang w:eastAsia="en-CA"/>
            </w:rPr>
          </w:pPr>
          <w:hyperlink w:anchor="_Toc104628857" w:history="1">
            <w:r w:rsidR="00D9247C" w:rsidRPr="00B17B14">
              <w:rPr>
                <w:rStyle w:val="Hyperlink"/>
                <w:noProof/>
              </w:rPr>
              <w:t>Elementary Enrolment Projections by School and Program</w:t>
            </w:r>
            <w:r w:rsidR="00D9247C">
              <w:rPr>
                <w:noProof/>
                <w:webHidden/>
              </w:rPr>
              <w:tab/>
            </w:r>
            <w:r w:rsidR="00D9247C">
              <w:rPr>
                <w:noProof/>
                <w:webHidden/>
              </w:rPr>
              <w:fldChar w:fldCharType="begin"/>
            </w:r>
            <w:r w:rsidR="00D9247C">
              <w:rPr>
                <w:noProof/>
                <w:webHidden/>
              </w:rPr>
              <w:instrText xml:space="preserve"> PAGEREF _Toc104628857 \h </w:instrText>
            </w:r>
            <w:r w:rsidR="00D9247C">
              <w:rPr>
                <w:noProof/>
                <w:webHidden/>
              </w:rPr>
            </w:r>
            <w:r w:rsidR="00D9247C">
              <w:rPr>
                <w:noProof/>
                <w:webHidden/>
              </w:rPr>
              <w:fldChar w:fldCharType="separate"/>
            </w:r>
            <w:r w:rsidR="00A571E0">
              <w:rPr>
                <w:noProof/>
                <w:webHidden/>
              </w:rPr>
              <w:t>11</w:t>
            </w:r>
            <w:r w:rsidR="00D9247C">
              <w:rPr>
                <w:noProof/>
                <w:webHidden/>
              </w:rPr>
              <w:fldChar w:fldCharType="end"/>
            </w:r>
          </w:hyperlink>
        </w:p>
        <w:p w14:paraId="0C1178E8" w14:textId="7662B1D5" w:rsidR="00D9247C" w:rsidRDefault="005D019C">
          <w:pPr>
            <w:pStyle w:val="TOC2"/>
            <w:tabs>
              <w:tab w:val="right" w:leader="dot" w:pos="10070"/>
            </w:tabs>
            <w:rPr>
              <w:rFonts w:eastAsiaTheme="minorEastAsia"/>
              <w:noProof/>
              <w:lang w:eastAsia="en-CA"/>
            </w:rPr>
          </w:pPr>
          <w:hyperlink w:anchor="_Toc104628858" w:history="1">
            <w:r w:rsidR="00D9247C" w:rsidRPr="00B17B14">
              <w:rPr>
                <w:rStyle w:val="Hyperlink"/>
                <w:noProof/>
              </w:rPr>
              <w:t>Secondary Enrolment Projections by School</w:t>
            </w:r>
            <w:r w:rsidR="00D9247C">
              <w:rPr>
                <w:noProof/>
                <w:webHidden/>
              </w:rPr>
              <w:tab/>
            </w:r>
            <w:r w:rsidR="00D9247C">
              <w:rPr>
                <w:noProof/>
                <w:webHidden/>
              </w:rPr>
              <w:fldChar w:fldCharType="begin"/>
            </w:r>
            <w:r w:rsidR="00D9247C">
              <w:rPr>
                <w:noProof/>
                <w:webHidden/>
              </w:rPr>
              <w:instrText xml:space="preserve"> PAGEREF _Toc104628858 \h </w:instrText>
            </w:r>
            <w:r w:rsidR="00D9247C">
              <w:rPr>
                <w:noProof/>
                <w:webHidden/>
              </w:rPr>
            </w:r>
            <w:r w:rsidR="00D9247C">
              <w:rPr>
                <w:noProof/>
                <w:webHidden/>
              </w:rPr>
              <w:fldChar w:fldCharType="separate"/>
            </w:r>
            <w:r w:rsidR="00A571E0">
              <w:rPr>
                <w:noProof/>
                <w:webHidden/>
              </w:rPr>
              <w:t>13</w:t>
            </w:r>
            <w:r w:rsidR="00D9247C">
              <w:rPr>
                <w:noProof/>
                <w:webHidden/>
              </w:rPr>
              <w:fldChar w:fldCharType="end"/>
            </w:r>
          </w:hyperlink>
        </w:p>
        <w:p w14:paraId="1558100F" w14:textId="0242697E" w:rsidR="00D9247C" w:rsidRDefault="005D019C">
          <w:pPr>
            <w:pStyle w:val="TOC1"/>
            <w:tabs>
              <w:tab w:val="right" w:leader="dot" w:pos="10070"/>
            </w:tabs>
            <w:rPr>
              <w:rFonts w:eastAsiaTheme="minorEastAsia"/>
              <w:noProof/>
              <w:lang w:eastAsia="en-CA"/>
            </w:rPr>
          </w:pPr>
          <w:hyperlink w:anchor="_Toc104628859" w:history="1">
            <w:r w:rsidR="00D9247C" w:rsidRPr="00B17B14">
              <w:rPr>
                <w:rStyle w:val="Hyperlink"/>
                <w:noProof/>
              </w:rPr>
              <w:t>Summary Budget Analysis</w:t>
            </w:r>
            <w:r w:rsidR="00D9247C">
              <w:rPr>
                <w:noProof/>
                <w:webHidden/>
              </w:rPr>
              <w:tab/>
            </w:r>
            <w:r w:rsidR="00D9247C">
              <w:rPr>
                <w:noProof/>
                <w:webHidden/>
              </w:rPr>
              <w:fldChar w:fldCharType="begin"/>
            </w:r>
            <w:r w:rsidR="00D9247C">
              <w:rPr>
                <w:noProof/>
                <w:webHidden/>
              </w:rPr>
              <w:instrText xml:space="preserve"> PAGEREF _Toc104628859 \h </w:instrText>
            </w:r>
            <w:r w:rsidR="00D9247C">
              <w:rPr>
                <w:noProof/>
                <w:webHidden/>
              </w:rPr>
            </w:r>
            <w:r w:rsidR="00D9247C">
              <w:rPr>
                <w:noProof/>
                <w:webHidden/>
              </w:rPr>
              <w:fldChar w:fldCharType="separate"/>
            </w:r>
            <w:r w:rsidR="00A571E0">
              <w:rPr>
                <w:noProof/>
                <w:webHidden/>
              </w:rPr>
              <w:t>13</w:t>
            </w:r>
            <w:r w:rsidR="00D9247C">
              <w:rPr>
                <w:noProof/>
                <w:webHidden/>
              </w:rPr>
              <w:fldChar w:fldCharType="end"/>
            </w:r>
          </w:hyperlink>
        </w:p>
        <w:p w14:paraId="6E6CD6A1" w14:textId="6F945A78" w:rsidR="00D9247C" w:rsidRDefault="005D019C">
          <w:pPr>
            <w:pStyle w:val="TOC2"/>
            <w:tabs>
              <w:tab w:val="right" w:leader="dot" w:pos="10070"/>
            </w:tabs>
            <w:rPr>
              <w:rFonts w:eastAsiaTheme="minorEastAsia"/>
              <w:noProof/>
              <w:lang w:eastAsia="en-CA"/>
            </w:rPr>
          </w:pPr>
          <w:hyperlink w:anchor="_Toc104628860" w:history="1">
            <w:r w:rsidR="00D9247C" w:rsidRPr="00B17B14">
              <w:rPr>
                <w:rStyle w:val="Hyperlink"/>
                <w:noProof/>
              </w:rPr>
              <w:t>Summary Budget Comparison Analysis</w:t>
            </w:r>
            <w:r w:rsidR="00D9247C">
              <w:rPr>
                <w:noProof/>
                <w:webHidden/>
              </w:rPr>
              <w:tab/>
            </w:r>
            <w:r w:rsidR="00D9247C">
              <w:rPr>
                <w:noProof/>
                <w:webHidden/>
              </w:rPr>
              <w:fldChar w:fldCharType="begin"/>
            </w:r>
            <w:r w:rsidR="00D9247C">
              <w:rPr>
                <w:noProof/>
                <w:webHidden/>
              </w:rPr>
              <w:instrText xml:space="preserve"> PAGEREF _Toc104628860 \h </w:instrText>
            </w:r>
            <w:r w:rsidR="00D9247C">
              <w:rPr>
                <w:noProof/>
                <w:webHidden/>
              </w:rPr>
            </w:r>
            <w:r w:rsidR="00D9247C">
              <w:rPr>
                <w:noProof/>
                <w:webHidden/>
              </w:rPr>
              <w:fldChar w:fldCharType="separate"/>
            </w:r>
            <w:r w:rsidR="00A571E0">
              <w:rPr>
                <w:noProof/>
                <w:webHidden/>
              </w:rPr>
              <w:t>14</w:t>
            </w:r>
            <w:r w:rsidR="00D9247C">
              <w:rPr>
                <w:noProof/>
                <w:webHidden/>
              </w:rPr>
              <w:fldChar w:fldCharType="end"/>
            </w:r>
          </w:hyperlink>
        </w:p>
        <w:p w14:paraId="6072CDC1" w14:textId="052B58BA" w:rsidR="00D9247C" w:rsidRDefault="005D019C">
          <w:pPr>
            <w:pStyle w:val="TOC2"/>
            <w:tabs>
              <w:tab w:val="right" w:leader="dot" w:pos="10070"/>
            </w:tabs>
            <w:rPr>
              <w:rFonts w:eastAsiaTheme="minorEastAsia"/>
              <w:noProof/>
              <w:lang w:eastAsia="en-CA"/>
            </w:rPr>
          </w:pPr>
          <w:hyperlink w:anchor="_Toc104628861" w:history="1">
            <w:r w:rsidR="00D9247C" w:rsidRPr="00B17B14">
              <w:rPr>
                <w:rStyle w:val="Hyperlink"/>
                <w:rFonts w:eastAsia="Calibri"/>
                <w:noProof/>
                <w:lang w:val="en-US"/>
              </w:rPr>
              <w:t>Revenues</w:t>
            </w:r>
            <w:r w:rsidR="00D9247C">
              <w:rPr>
                <w:noProof/>
                <w:webHidden/>
              </w:rPr>
              <w:tab/>
            </w:r>
            <w:r w:rsidR="00D9247C">
              <w:rPr>
                <w:noProof/>
                <w:webHidden/>
              </w:rPr>
              <w:fldChar w:fldCharType="begin"/>
            </w:r>
            <w:r w:rsidR="00D9247C">
              <w:rPr>
                <w:noProof/>
                <w:webHidden/>
              </w:rPr>
              <w:instrText xml:space="preserve"> PAGEREF _Toc104628861 \h </w:instrText>
            </w:r>
            <w:r w:rsidR="00D9247C">
              <w:rPr>
                <w:noProof/>
                <w:webHidden/>
              </w:rPr>
            </w:r>
            <w:r w:rsidR="00D9247C">
              <w:rPr>
                <w:noProof/>
                <w:webHidden/>
              </w:rPr>
              <w:fldChar w:fldCharType="separate"/>
            </w:r>
            <w:r w:rsidR="00A571E0">
              <w:rPr>
                <w:noProof/>
                <w:webHidden/>
              </w:rPr>
              <w:t>16</w:t>
            </w:r>
            <w:r w:rsidR="00D9247C">
              <w:rPr>
                <w:noProof/>
                <w:webHidden/>
              </w:rPr>
              <w:fldChar w:fldCharType="end"/>
            </w:r>
          </w:hyperlink>
        </w:p>
        <w:p w14:paraId="2F4C5B47" w14:textId="3D258E53" w:rsidR="00D9247C" w:rsidRDefault="005D019C">
          <w:pPr>
            <w:pStyle w:val="TOC2"/>
            <w:tabs>
              <w:tab w:val="right" w:leader="dot" w:pos="10070"/>
            </w:tabs>
            <w:rPr>
              <w:rFonts w:eastAsiaTheme="minorEastAsia"/>
              <w:noProof/>
              <w:lang w:eastAsia="en-CA"/>
            </w:rPr>
          </w:pPr>
          <w:hyperlink w:anchor="_Toc104628862" w:history="1">
            <w:r w:rsidR="00D9247C" w:rsidRPr="00B17B14">
              <w:rPr>
                <w:rStyle w:val="Hyperlink"/>
                <w:rFonts w:eastAsia="Calibri"/>
                <w:noProof/>
                <w:lang w:val="en-US"/>
              </w:rPr>
              <w:t>Grants for Student Needs</w:t>
            </w:r>
            <w:r w:rsidR="00D9247C">
              <w:rPr>
                <w:noProof/>
                <w:webHidden/>
              </w:rPr>
              <w:tab/>
            </w:r>
            <w:r w:rsidR="00D9247C">
              <w:rPr>
                <w:noProof/>
                <w:webHidden/>
              </w:rPr>
              <w:fldChar w:fldCharType="begin"/>
            </w:r>
            <w:r w:rsidR="00D9247C">
              <w:rPr>
                <w:noProof/>
                <w:webHidden/>
              </w:rPr>
              <w:instrText xml:space="preserve"> PAGEREF _Toc104628862 \h </w:instrText>
            </w:r>
            <w:r w:rsidR="00D9247C">
              <w:rPr>
                <w:noProof/>
                <w:webHidden/>
              </w:rPr>
            </w:r>
            <w:r w:rsidR="00D9247C">
              <w:rPr>
                <w:noProof/>
                <w:webHidden/>
              </w:rPr>
              <w:fldChar w:fldCharType="separate"/>
            </w:r>
            <w:r w:rsidR="00A571E0">
              <w:rPr>
                <w:noProof/>
                <w:webHidden/>
              </w:rPr>
              <w:t>16</w:t>
            </w:r>
            <w:r w:rsidR="00D9247C">
              <w:rPr>
                <w:noProof/>
                <w:webHidden/>
              </w:rPr>
              <w:fldChar w:fldCharType="end"/>
            </w:r>
          </w:hyperlink>
        </w:p>
        <w:p w14:paraId="1F56776E" w14:textId="3A6C796B" w:rsidR="00D9247C" w:rsidRDefault="005D019C">
          <w:pPr>
            <w:pStyle w:val="TOC2"/>
            <w:tabs>
              <w:tab w:val="right" w:leader="dot" w:pos="10070"/>
            </w:tabs>
            <w:rPr>
              <w:rFonts w:eastAsiaTheme="minorEastAsia"/>
              <w:noProof/>
              <w:lang w:eastAsia="en-CA"/>
            </w:rPr>
          </w:pPr>
          <w:hyperlink w:anchor="_Toc104628863" w:history="1">
            <w:r w:rsidR="00D9247C" w:rsidRPr="00B17B14">
              <w:rPr>
                <w:rStyle w:val="Hyperlink"/>
                <w:noProof/>
              </w:rPr>
              <w:t>Expenditures Trending</w:t>
            </w:r>
            <w:r w:rsidR="00D9247C">
              <w:rPr>
                <w:noProof/>
                <w:webHidden/>
              </w:rPr>
              <w:tab/>
            </w:r>
            <w:r w:rsidR="00D9247C">
              <w:rPr>
                <w:noProof/>
                <w:webHidden/>
              </w:rPr>
              <w:fldChar w:fldCharType="begin"/>
            </w:r>
            <w:r w:rsidR="00D9247C">
              <w:rPr>
                <w:noProof/>
                <w:webHidden/>
              </w:rPr>
              <w:instrText xml:space="preserve"> PAGEREF _Toc104628863 \h </w:instrText>
            </w:r>
            <w:r w:rsidR="00D9247C">
              <w:rPr>
                <w:noProof/>
                <w:webHidden/>
              </w:rPr>
            </w:r>
            <w:r w:rsidR="00D9247C">
              <w:rPr>
                <w:noProof/>
                <w:webHidden/>
              </w:rPr>
              <w:fldChar w:fldCharType="separate"/>
            </w:r>
            <w:r w:rsidR="00A571E0">
              <w:rPr>
                <w:noProof/>
                <w:webHidden/>
              </w:rPr>
              <w:t>19</w:t>
            </w:r>
            <w:r w:rsidR="00D9247C">
              <w:rPr>
                <w:noProof/>
                <w:webHidden/>
              </w:rPr>
              <w:fldChar w:fldCharType="end"/>
            </w:r>
          </w:hyperlink>
        </w:p>
        <w:p w14:paraId="5330791F" w14:textId="7B860C6B" w:rsidR="00D9247C" w:rsidRDefault="005D019C">
          <w:pPr>
            <w:pStyle w:val="TOC2"/>
            <w:tabs>
              <w:tab w:val="right" w:leader="dot" w:pos="10070"/>
            </w:tabs>
            <w:rPr>
              <w:rFonts w:eastAsiaTheme="minorEastAsia"/>
              <w:noProof/>
              <w:lang w:eastAsia="en-CA"/>
            </w:rPr>
          </w:pPr>
          <w:hyperlink w:anchor="_Toc104628864" w:history="1">
            <w:r w:rsidR="00D9247C" w:rsidRPr="00B17B14">
              <w:rPr>
                <w:rStyle w:val="Hyperlink"/>
                <w:noProof/>
              </w:rPr>
              <w:t>Detailed Estimated Expenditures</w:t>
            </w:r>
            <w:r w:rsidR="00D9247C">
              <w:rPr>
                <w:noProof/>
                <w:webHidden/>
              </w:rPr>
              <w:tab/>
            </w:r>
            <w:r w:rsidR="00D9247C">
              <w:rPr>
                <w:noProof/>
                <w:webHidden/>
              </w:rPr>
              <w:fldChar w:fldCharType="begin"/>
            </w:r>
            <w:r w:rsidR="00D9247C">
              <w:rPr>
                <w:noProof/>
                <w:webHidden/>
              </w:rPr>
              <w:instrText xml:space="preserve"> PAGEREF _Toc104628864 \h </w:instrText>
            </w:r>
            <w:r w:rsidR="00D9247C">
              <w:rPr>
                <w:noProof/>
                <w:webHidden/>
              </w:rPr>
            </w:r>
            <w:r w:rsidR="00D9247C">
              <w:rPr>
                <w:noProof/>
                <w:webHidden/>
              </w:rPr>
              <w:fldChar w:fldCharType="separate"/>
            </w:r>
            <w:r w:rsidR="00A571E0">
              <w:rPr>
                <w:noProof/>
                <w:webHidden/>
              </w:rPr>
              <w:t>20</w:t>
            </w:r>
            <w:r w:rsidR="00D9247C">
              <w:rPr>
                <w:noProof/>
                <w:webHidden/>
              </w:rPr>
              <w:fldChar w:fldCharType="end"/>
            </w:r>
          </w:hyperlink>
        </w:p>
        <w:p w14:paraId="05A38304" w14:textId="174CDDA9" w:rsidR="00D9247C" w:rsidRDefault="005D019C">
          <w:pPr>
            <w:pStyle w:val="TOC2"/>
            <w:tabs>
              <w:tab w:val="right" w:leader="dot" w:pos="10070"/>
            </w:tabs>
            <w:rPr>
              <w:rFonts w:eastAsiaTheme="minorEastAsia"/>
              <w:noProof/>
              <w:lang w:eastAsia="en-CA"/>
            </w:rPr>
          </w:pPr>
          <w:hyperlink w:anchor="_Toc104628865" w:history="1">
            <w:r w:rsidR="00D9247C" w:rsidRPr="00B17B14">
              <w:rPr>
                <w:rStyle w:val="Hyperlink"/>
                <w:noProof/>
              </w:rPr>
              <w:t>Explanations of Variances</w:t>
            </w:r>
            <w:r w:rsidR="00D9247C">
              <w:rPr>
                <w:noProof/>
                <w:webHidden/>
              </w:rPr>
              <w:tab/>
            </w:r>
            <w:r w:rsidR="00D9247C">
              <w:rPr>
                <w:noProof/>
                <w:webHidden/>
              </w:rPr>
              <w:fldChar w:fldCharType="begin"/>
            </w:r>
            <w:r w:rsidR="00D9247C">
              <w:rPr>
                <w:noProof/>
                <w:webHidden/>
              </w:rPr>
              <w:instrText xml:space="preserve"> PAGEREF _Toc104628865 \h </w:instrText>
            </w:r>
            <w:r w:rsidR="00D9247C">
              <w:rPr>
                <w:noProof/>
                <w:webHidden/>
              </w:rPr>
            </w:r>
            <w:r w:rsidR="00D9247C">
              <w:rPr>
                <w:noProof/>
                <w:webHidden/>
              </w:rPr>
              <w:fldChar w:fldCharType="separate"/>
            </w:r>
            <w:r w:rsidR="00A571E0">
              <w:rPr>
                <w:noProof/>
                <w:webHidden/>
              </w:rPr>
              <w:t>21</w:t>
            </w:r>
            <w:r w:rsidR="00D9247C">
              <w:rPr>
                <w:noProof/>
                <w:webHidden/>
              </w:rPr>
              <w:fldChar w:fldCharType="end"/>
            </w:r>
          </w:hyperlink>
        </w:p>
        <w:p w14:paraId="6CE5E161" w14:textId="5127DEF0" w:rsidR="00D9247C" w:rsidRDefault="005D019C">
          <w:pPr>
            <w:pStyle w:val="TOC2"/>
            <w:tabs>
              <w:tab w:val="right" w:leader="dot" w:pos="10070"/>
            </w:tabs>
            <w:rPr>
              <w:rFonts w:eastAsiaTheme="minorEastAsia"/>
              <w:noProof/>
              <w:lang w:eastAsia="en-CA"/>
            </w:rPr>
          </w:pPr>
          <w:hyperlink w:anchor="_Toc104628866" w:history="1">
            <w:r w:rsidR="00D9247C" w:rsidRPr="00B17B14">
              <w:rPr>
                <w:rStyle w:val="Hyperlink"/>
                <w:noProof/>
                <w:lang w:val="en-US"/>
              </w:rPr>
              <w:t>Facilities Capital Funding</w:t>
            </w:r>
            <w:r w:rsidR="00D9247C">
              <w:rPr>
                <w:noProof/>
                <w:webHidden/>
              </w:rPr>
              <w:tab/>
            </w:r>
            <w:r w:rsidR="00D9247C">
              <w:rPr>
                <w:noProof/>
                <w:webHidden/>
              </w:rPr>
              <w:fldChar w:fldCharType="begin"/>
            </w:r>
            <w:r w:rsidR="00D9247C">
              <w:rPr>
                <w:noProof/>
                <w:webHidden/>
              </w:rPr>
              <w:instrText xml:space="preserve"> PAGEREF _Toc104628866 \h </w:instrText>
            </w:r>
            <w:r w:rsidR="00D9247C">
              <w:rPr>
                <w:noProof/>
                <w:webHidden/>
              </w:rPr>
            </w:r>
            <w:r w:rsidR="00D9247C">
              <w:rPr>
                <w:noProof/>
                <w:webHidden/>
              </w:rPr>
              <w:fldChar w:fldCharType="separate"/>
            </w:r>
            <w:r w:rsidR="00A571E0">
              <w:rPr>
                <w:noProof/>
                <w:webHidden/>
              </w:rPr>
              <w:t>27</w:t>
            </w:r>
            <w:r w:rsidR="00D9247C">
              <w:rPr>
                <w:noProof/>
                <w:webHidden/>
              </w:rPr>
              <w:fldChar w:fldCharType="end"/>
            </w:r>
          </w:hyperlink>
        </w:p>
        <w:p w14:paraId="30D2070A" w14:textId="4A043788" w:rsidR="00FC2BB1" w:rsidRDefault="00FC2BB1">
          <w:r>
            <w:rPr>
              <w:b/>
              <w:bCs/>
              <w:noProof/>
            </w:rPr>
            <w:fldChar w:fldCharType="end"/>
          </w:r>
        </w:p>
      </w:sdtContent>
    </w:sdt>
    <w:p w14:paraId="32FB6A10" w14:textId="77777777" w:rsidR="009B7152" w:rsidRDefault="009B7152" w:rsidP="003719B1">
      <w:pPr>
        <w:jc w:val="center"/>
        <w:rPr>
          <w:rFonts w:ascii="Arial" w:hAnsi="Arial" w:cs="Arial"/>
        </w:rPr>
        <w:sectPr w:rsidR="009B7152" w:rsidSect="003719B1">
          <w:endnotePr>
            <w:numFmt w:val="decimal"/>
          </w:endnotePr>
          <w:type w:val="continuous"/>
          <w:pgSz w:w="12240" w:h="15840"/>
          <w:pgMar w:top="720" w:right="1080" w:bottom="273" w:left="1080" w:header="1080" w:footer="273" w:gutter="0"/>
          <w:cols w:space="720"/>
          <w:noEndnote/>
        </w:sectPr>
      </w:pPr>
    </w:p>
    <w:p w14:paraId="7C76BEE8" w14:textId="083FB87A" w:rsidR="007B5D08" w:rsidRDefault="007B5D08" w:rsidP="004572EA">
      <w:pPr>
        <w:pStyle w:val="Heading1"/>
        <w:rPr>
          <w:lang w:val="en-US"/>
        </w:rPr>
      </w:pPr>
    </w:p>
    <w:p w14:paraId="0F94C57D" w14:textId="63CF2904" w:rsidR="007B5D08" w:rsidRDefault="007B5D08" w:rsidP="007B5D08">
      <w:pPr>
        <w:rPr>
          <w:lang w:val="en-US"/>
        </w:rPr>
      </w:pPr>
    </w:p>
    <w:p w14:paraId="1D65639C" w14:textId="44401AA0" w:rsidR="007B5D08" w:rsidRDefault="007B5D08" w:rsidP="007B5D08">
      <w:pPr>
        <w:rPr>
          <w:lang w:val="en-US"/>
        </w:rPr>
      </w:pPr>
    </w:p>
    <w:p w14:paraId="6A4A346E" w14:textId="7F4F36E6" w:rsidR="007B5D08" w:rsidRDefault="007B5D08" w:rsidP="007B5D08">
      <w:pPr>
        <w:rPr>
          <w:lang w:val="en-US"/>
        </w:rPr>
      </w:pPr>
    </w:p>
    <w:p w14:paraId="1CF9FFBB" w14:textId="179ABA99" w:rsidR="007B5D08" w:rsidRDefault="007B5D08" w:rsidP="007B5D08">
      <w:pPr>
        <w:rPr>
          <w:lang w:val="en-US"/>
        </w:rPr>
      </w:pPr>
    </w:p>
    <w:p w14:paraId="25F54AF6" w14:textId="0F84BD82" w:rsidR="007B5D08" w:rsidRDefault="007B5D08" w:rsidP="007B5D08">
      <w:pPr>
        <w:rPr>
          <w:lang w:val="en-US"/>
        </w:rPr>
      </w:pPr>
    </w:p>
    <w:p w14:paraId="7266CB69" w14:textId="41A9B283" w:rsidR="007B5D08" w:rsidRDefault="007B5D08" w:rsidP="007B5D08">
      <w:pPr>
        <w:rPr>
          <w:lang w:val="en-US"/>
        </w:rPr>
      </w:pPr>
    </w:p>
    <w:p w14:paraId="26322AE7" w14:textId="34D2C5B4" w:rsidR="00A80E25" w:rsidRDefault="00A80E25" w:rsidP="007B5D08">
      <w:pPr>
        <w:rPr>
          <w:lang w:val="en-US"/>
        </w:rPr>
      </w:pPr>
    </w:p>
    <w:p w14:paraId="14F7492F" w14:textId="77777777" w:rsidR="00A80E25" w:rsidRDefault="00A80E25" w:rsidP="007B5D08">
      <w:pPr>
        <w:rPr>
          <w:lang w:val="en-US"/>
        </w:rPr>
      </w:pPr>
    </w:p>
    <w:p w14:paraId="6E844E10" w14:textId="0DB14C69" w:rsidR="007B5D08" w:rsidRDefault="007B5D08" w:rsidP="007B5D08">
      <w:pPr>
        <w:rPr>
          <w:lang w:val="en-US"/>
        </w:rPr>
      </w:pPr>
    </w:p>
    <w:p w14:paraId="44A3665D" w14:textId="3DD7020F" w:rsidR="004572EA" w:rsidRDefault="004572EA" w:rsidP="004572EA">
      <w:pPr>
        <w:pStyle w:val="Heading1"/>
        <w:rPr>
          <w:lang w:val="en-US"/>
        </w:rPr>
      </w:pPr>
      <w:bookmarkStart w:id="0" w:name="_Toc104628851"/>
      <w:r>
        <w:rPr>
          <w:lang w:val="en-US"/>
        </w:rPr>
        <w:lastRenderedPageBreak/>
        <w:t>Budget Framework</w:t>
      </w:r>
      <w:bookmarkEnd w:id="0"/>
    </w:p>
    <w:p w14:paraId="402B2486" w14:textId="77777777" w:rsidR="004572EA" w:rsidRPr="004572EA" w:rsidRDefault="004572EA" w:rsidP="004572EA">
      <w:pPr>
        <w:rPr>
          <w:lang w:val="en-US"/>
        </w:rPr>
      </w:pPr>
    </w:p>
    <w:p w14:paraId="60EAE3BF" w14:textId="3516BED3" w:rsidR="00854FA7" w:rsidRPr="003A57CF" w:rsidRDefault="00854FA7" w:rsidP="00854FA7">
      <w:pPr>
        <w:pStyle w:val="NoSpacing"/>
        <w:rPr>
          <w:rFonts w:asciiTheme="majorHAnsi" w:hAnsiTheme="majorHAnsi" w:cstheme="majorHAnsi"/>
          <w:sz w:val="24"/>
          <w:szCs w:val="24"/>
          <w:lang w:val="en-US"/>
        </w:rPr>
      </w:pPr>
      <w:r w:rsidRPr="003A57CF">
        <w:rPr>
          <w:rFonts w:asciiTheme="majorHAnsi" w:hAnsiTheme="majorHAnsi" w:cstheme="majorHAnsi"/>
          <w:i/>
          <w:iCs/>
          <w:sz w:val="24"/>
          <w:szCs w:val="24"/>
          <w:lang w:val="en-US"/>
        </w:rPr>
        <w:t>Our Mission</w:t>
      </w:r>
    </w:p>
    <w:p w14:paraId="2E2FF207" w14:textId="77777777" w:rsidR="00854FA7" w:rsidRPr="003A57CF" w:rsidRDefault="00854FA7" w:rsidP="00854FA7">
      <w:pPr>
        <w:pStyle w:val="NoSpacing"/>
        <w:rPr>
          <w:rFonts w:asciiTheme="majorHAnsi" w:hAnsiTheme="majorHAnsi" w:cstheme="majorHAnsi"/>
          <w:sz w:val="24"/>
          <w:szCs w:val="24"/>
          <w:lang w:val="en-US"/>
        </w:rPr>
      </w:pPr>
      <w:r w:rsidRPr="003A57CF">
        <w:rPr>
          <w:rFonts w:asciiTheme="majorHAnsi" w:hAnsiTheme="majorHAnsi" w:cstheme="majorHAnsi"/>
          <w:sz w:val="24"/>
          <w:szCs w:val="24"/>
          <w:lang w:val="en-US"/>
        </w:rPr>
        <w:t>To realize each students’ potential within our inclusive Catholic learning community by nurturing and developing their mind, body and spirit.</w:t>
      </w:r>
    </w:p>
    <w:p w14:paraId="0064AFA4" w14:textId="77777777" w:rsidR="00854FA7" w:rsidRPr="003A57CF" w:rsidRDefault="00854FA7" w:rsidP="00854FA7">
      <w:pPr>
        <w:pStyle w:val="NoSpacing"/>
        <w:rPr>
          <w:rFonts w:asciiTheme="majorHAnsi" w:hAnsiTheme="majorHAnsi" w:cstheme="majorHAnsi"/>
          <w:i/>
          <w:iCs/>
          <w:sz w:val="24"/>
          <w:szCs w:val="24"/>
          <w:lang w:val="en-US"/>
        </w:rPr>
      </w:pPr>
    </w:p>
    <w:p w14:paraId="31B2E9CA" w14:textId="77777777" w:rsidR="00854FA7" w:rsidRPr="003A57CF" w:rsidRDefault="00854FA7" w:rsidP="00854FA7">
      <w:pPr>
        <w:pStyle w:val="NoSpacing"/>
        <w:rPr>
          <w:rFonts w:asciiTheme="majorHAnsi" w:hAnsiTheme="majorHAnsi" w:cstheme="majorHAnsi"/>
          <w:sz w:val="24"/>
          <w:szCs w:val="24"/>
          <w:lang w:val="en-US"/>
        </w:rPr>
      </w:pPr>
      <w:r w:rsidRPr="003A57CF">
        <w:rPr>
          <w:rFonts w:asciiTheme="majorHAnsi" w:hAnsiTheme="majorHAnsi" w:cstheme="majorHAnsi"/>
          <w:i/>
          <w:iCs/>
          <w:sz w:val="24"/>
          <w:szCs w:val="24"/>
          <w:lang w:val="en-US"/>
        </w:rPr>
        <w:t>Our Vision</w:t>
      </w:r>
    </w:p>
    <w:p w14:paraId="37BFC19A" w14:textId="514E0D92" w:rsidR="00854FA7" w:rsidRPr="003A57CF" w:rsidRDefault="00854FA7" w:rsidP="00854FA7">
      <w:pPr>
        <w:pStyle w:val="NoSpacing"/>
        <w:rPr>
          <w:rFonts w:asciiTheme="majorHAnsi" w:hAnsiTheme="majorHAnsi" w:cstheme="majorHAnsi"/>
          <w:sz w:val="24"/>
          <w:szCs w:val="24"/>
          <w:lang w:val="en-US"/>
        </w:rPr>
      </w:pPr>
      <w:r w:rsidRPr="003A57CF">
        <w:rPr>
          <w:rFonts w:asciiTheme="majorHAnsi" w:hAnsiTheme="majorHAnsi" w:cstheme="majorHAnsi"/>
          <w:sz w:val="24"/>
          <w:szCs w:val="24"/>
          <w:lang w:val="en-US"/>
        </w:rPr>
        <w:t>Leaders in Learning and Faith.</w:t>
      </w:r>
    </w:p>
    <w:p w14:paraId="5273034A" w14:textId="77777777" w:rsidR="00854FA7" w:rsidRPr="003A57CF" w:rsidRDefault="00854FA7" w:rsidP="00854FA7">
      <w:pPr>
        <w:pStyle w:val="NoSpacing"/>
        <w:rPr>
          <w:rFonts w:asciiTheme="majorHAnsi" w:hAnsiTheme="majorHAnsi" w:cstheme="majorHAnsi"/>
          <w:i/>
          <w:sz w:val="24"/>
          <w:szCs w:val="24"/>
          <w:lang w:val="en-US"/>
        </w:rPr>
      </w:pPr>
    </w:p>
    <w:p w14:paraId="21521FA0" w14:textId="77777777" w:rsidR="00854FA7" w:rsidRPr="003A57CF" w:rsidRDefault="00854FA7" w:rsidP="00854FA7">
      <w:pPr>
        <w:pStyle w:val="NoSpacing"/>
        <w:rPr>
          <w:rFonts w:asciiTheme="majorHAnsi" w:hAnsiTheme="majorHAnsi" w:cstheme="majorHAnsi"/>
          <w:i/>
          <w:sz w:val="24"/>
          <w:szCs w:val="24"/>
          <w:lang w:val="en-US"/>
        </w:rPr>
      </w:pPr>
      <w:r w:rsidRPr="003A57CF">
        <w:rPr>
          <w:rFonts w:asciiTheme="majorHAnsi" w:hAnsiTheme="majorHAnsi" w:cstheme="majorHAnsi"/>
          <w:i/>
          <w:sz w:val="24"/>
          <w:szCs w:val="24"/>
          <w:lang w:val="en-US"/>
        </w:rPr>
        <w:t>Values</w:t>
      </w:r>
    </w:p>
    <w:p w14:paraId="66940C9F" w14:textId="2BB69611" w:rsidR="00854FA7" w:rsidRDefault="00854FA7" w:rsidP="00F77B7A">
      <w:pPr>
        <w:pStyle w:val="NoSpacing"/>
        <w:rPr>
          <w:rFonts w:asciiTheme="majorHAnsi" w:hAnsiTheme="majorHAnsi" w:cstheme="majorHAnsi"/>
          <w:sz w:val="24"/>
          <w:szCs w:val="24"/>
          <w:lang w:val="en-US"/>
        </w:rPr>
      </w:pPr>
      <w:r w:rsidRPr="003A57CF">
        <w:rPr>
          <w:rFonts w:asciiTheme="majorHAnsi" w:hAnsiTheme="majorHAnsi" w:cstheme="majorHAnsi"/>
          <w:sz w:val="24"/>
          <w:szCs w:val="24"/>
          <w:lang w:val="en-US"/>
        </w:rPr>
        <w:t>Modeling Jesus in the world through faith, respect, community, innovation and learning.</w:t>
      </w:r>
    </w:p>
    <w:p w14:paraId="6C11F443" w14:textId="49E536DD" w:rsidR="008F4A06" w:rsidRDefault="008F4A06" w:rsidP="008F4A06">
      <w:pPr>
        <w:pStyle w:val="NoSpacing"/>
        <w:rPr>
          <w:rFonts w:asciiTheme="majorHAnsi" w:hAnsiTheme="majorHAnsi" w:cstheme="majorHAnsi"/>
          <w:sz w:val="24"/>
          <w:szCs w:val="24"/>
          <w:lang w:val="en-US"/>
        </w:rPr>
      </w:pPr>
    </w:p>
    <w:p w14:paraId="313C47D0" w14:textId="4B5FA50C" w:rsidR="008F4A06" w:rsidRDefault="008F4A06" w:rsidP="008F4A06">
      <w:pPr>
        <w:pStyle w:val="NoSpacing"/>
        <w:rPr>
          <w:rFonts w:asciiTheme="majorHAnsi" w:hAnsiTheme="majorHAnsi" w:cstheme="majorHAnsi"/>
          <w:sz w:val="24"/>
          <w:szCs w:val="24"/>
          <w:lang w:val="en-US"/>
        </w:rPr>
      </w:pPr>
      <w:r w:rsidRPr="008F4A06">
        <w:rPr>
          <w:rFonts w:asciiTheme="majorHAnsi" w:hAnsiTheme="majorHAnsi" w:cstheme="majorHAnsi"/>
          <w:sz w:val="24"/>
          <w:szCs w:val="24"/>
          <w:lang w:val="en-US"/>
        </w:rPr>
        <w:t>The following guiding principles, current issues and trends provide guidance and direction for the deve</w:t>
      </w:r>
      <w:r w:rsidR="00555F6B">
        <w:rPr>
          <w:rFonts w:asciiTheme="majorHAnsi" w:hAnsiTheme="majorHAnsi" w:cstheme="majorHAnsi"/>
          <w:sz w:val="24"/>
          <w:szCs w:val="24"/>
          <w:lang w:val="en-US"/>
        </w:rPr>
        <w:t>lopment of the budget, serve as the basis for expenditure decisions,</w:t>
      </w:r>
      <w:r w:rsidRPr="008F4A06">
        <w:rPr>
          <w:rFonts w:asciiTheme="majorHAnsi" w:hAnsiTheme="majorHAnsi" w:cstheme="majorHAnsi"/>
          <w:sz w:val="24"/>
          <w:szCs w:val="24"/>
          <w:lang w:val="en-US"/>
        </w:rPr>
        <w:t xml:space="preserve"> </w:t>
      </w:r>
      <w:r w:rsidR="00555F6B">
        <w:rPr>
          <w:rFonts w:asciiTheme="majorHAnsi" w:hAnsiTheme="majorHAnsi" w:cstheme="majorHAnsi"/>
          <w:sz w:val="24"/>
          <w:szCs w:val="24"/>
          <w:lang w:val="en-US"/>
        </w:rPr>
        <w:t>and</w:t>
      </w:r>
      <w:r>
        <w:rPr>
          <w:rFonts w:asciiTheme="majorHAnsi" w:hAnsiTheme="majorHAnsi" w:cstheme="majorHAnsi"/>
          <w:sz w:val="24"/>
          <w:szCs w:val="24"/>
          <w:lang w:val="en-US"/>
        </w:rPr>
        <w:t xml:space="preserve"> align</w:t>
      </w:r>
      <w:r w:rsidRPr="008F4A06">
        <w:rPr>
          <w:rFonts w:asciiTheme="majorHAnsi" w:hAnsiTheme="majorHAnsi" w:cstheme="majorHAnsi"/>
          <w:sz w:val="24"/>
          <w:szCs w:val="24"/>
          <w:lang w:val="en-US"/>
        </w:rPr>
        <w:t xml:space="preserve"> with the following Strategic Pathways:</w:t>
      </w:r>
    </w:p>
    <w:p w14:paraId="2F4BA583" w14:textId="77777777" w:rsidR="007B5D08" w:rsidRPr="008F4A06" w:rsidRDefault="007B5D08" w:rsidP="008F4A06">
      <w:pPr>
        <w:pStyle w:val="NoSpacing"/>
        <w:rPr>
          <w:rFonts w:asciiTheme="majorHAnsi" w:hAnsiTheme="majorHAnsi" w:cstheme="majorHAnsi"/>
          <w:sz w:val="24"/>
          <w:szCs w:val="24"/>
          <w:lang w:val="en-US"/>
        </w:rPr>
      </w:pPr>
    </w:p>
    <w:p w14:paraId="709BCE9A" w14:textId="77777777" w:rsidR="008F4A06" w:rsidRPr="008F4A06" w:rsidRDefault="008F4A06" w:rsidP="008F4A06">
      <w:pPr>
        <w:pStyle w:val="NoSpacing"/>
        <w:rPr>
          <w:rFonts w:asciiTheme="majorHAnsi" w:hAnsiTheme="majorHAnsi" w:cstheme="majorHAnsi"/>
          <w:sz w:val="24"/>
          <w:szCs w:val="24"/>
          <w:lang w:val="en-US"/>
        </w:rPr>
      </w:pPr>
      <w:r w:rsidRPr="008F4A06">
        <w:rPr>
          <w:rFonts w:asciiTheme="majorHAnsi" w:hAnsiTheme="majorHAnsi" w:cstheme="majorHAnsi"/>
          <w:noProof/>
          <w:sz w:val="24"/>
          <w:szCs w:val="24"/>
          <w:lang w:eastAsia="en-CA"/>
        </w:rPr>
        <w:drawing>
          <wp:inline distT="0" distB="0" distL="0" distR="0" wp14:anchorId="663B86DC" wp14:editId="14B1A2C1">
            <wp:extent cx="737870" cy="73787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pic:spPr>
                </pic:pic>
              </a:graphicData>
            </a:graphic>
          </wp:inline>
        </w:drawing>
      </w:r>
      <w:r w:rsidRPr="008F4A06">
        <w:rPr>
          <w:rFonts w:asciiTheme="majorHAnsi" w:hAnsiTheme="majorHAnsi" w:cstheme="majorHAnsi"/>
          <w:sz w:val="24"/>
          <w:szCs w:val="24"/>
          <w:lang w:val="en-US"/>
        </w:rPr>
        <w:t>Strengthen our faith-based, inclusive and equitable community.</w:t>
      </w:r>
    </w:p>
    <w:p w14:paraId="2451D432" w14:textId="77777777" w:rsidR="008F4A06" w:rsidRPr="008F4A06" w:rsidRDefault="008F4A06" w:rsidP="008F4A06">
      <w:pPr>
        <w:pStyle w:val="NoSpacing"/>
        <w:rPr>
          <w:rFonts w:asciiTheme="majorHAnsi" w:hAnsiTheme="majorHAnsi" w:cstheme="majorHAnsi"/>
          <w:sz w:val="24"/>
          <w:szCs w:val="24"/>
          <w:lang w:val="en-US"/>
        </w:rPr>
      </w:pPr>
      <w:r w:rsidRPr="008F4A06">
        <w:rPr>
          <w:rFonts w:asciiTheme="majorHAnsi" w:hAnsiTheme="majorHAnsi" w:cstheme="majorHAnsi"/>
          <w:noProof/>
          <w:sz w:val="24"/>
          <w:szCs w:val="24"/>
          <w:lang w:eastAsia="en-CA"/>
        </w:rPr>
        <w:drawing>
          <wp:inline distT="0" distB="0" distL="0" distR="0" wp14:anchorId="7DBD911D" wp14:editId="6C74FEEB">
            <wp:extent cx="737870" cy="74358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7870" cy="743585"/>
                    </a:xfrm>
                    <a:prstGeom prst="rect">
                      <a:avLst/>
                    </a:prstGeom>
                    <a:noFill/>
                  </pic:spPr>
                </pic:pic>
              </a:graphicData>
            </a:graphic>
          </wp:inline>
        </w:drawing>
      </w:r>
      <w:r w:rsidRPr="008F4A06">
        <w:rPr>
          <w:rFonts w:asciiTheme="majorHAnsi" w:hAnsiTheme="majorHAnsi" w:cstheme="majorHAnsi"/>
          <w:sz w:val="24"/>
          <w:szCs w:val="24"/>
          <w:lang w:val="en-US"/>
        </w:rPr>
        <w:t>Promote innovation.</w:t>
      </w:r>
    </w:p>
    <w:p w14:paraId="72464B84" w14:textId="77777777" w:rsidR="008F4A06" w:rsidRPr="008F4A06" w:rsidRDefault="008F4A06" w:rsidP="008F4A06">
      <w:pPr>
        <w:pStyle w:val="NoSpacing"/>
        <w:rPr>
          <w:rFonts w:asciiTheme="majorHAnsi" w:hAnsiTheme="majorHAnsi" w:cstheme="majorHAnsi"/>
          <w:sz w:val="24"/>
          <w:szCs w:val="24"/>
          <w:lang w:val="en-US"/>
        </w:rPr>
      </w:pPr>
    </w:p>
    <w:p w14:paraId="0DCC007D" w14:textId="77777777" w:rsidR="008F4A06" w:rsidRPr="008F4A06" w:rsidRDefault="008F4A06" w:rsidP="008F4A06">
      <w:pPr>
        <w:pStyle w:val="NoSpacing"/>
        <w:rPr>
          <w:rFonts w:asciiTheme="majorHAnsi" w:hAnsiTheme="majorHAnsi" w:cstheme="majorHAnsi"/>
          <w:sz w:val="24"/>
          <w:szCs w:val="24"/>
          <w:lang w:val="en-US"/>
        </w:rPr>
      </w:pPr>
      <w:r w:rsidRPr="008F4A06">
        <w:rPr>
          <w:rFonts w:asciiTheme="majorHAnsi" w:hAnsiTheme="majorHAnsi" w:cstheme="majorHAnsi"/>
          <w:noProof/>
          <w:sz w:val="24"/>
          <w:szCs w:val="24"/>
          <w:lang w:eastAsia="en-CA"/>
        </w:rPr>
        <w:drawing>
          <wp:inline distT="0" distB="0" distL="0" distR="0" wp14:anchorId="5F646119" wp14:editId="28EDF34B">
            <wp:extent cx="719455" cy="719455"/>
            <wp:effectExtent l="0" t="0" r="444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r w:rsidRPr="008F4A06">
        <w:rPr>
          <w:rFonts w:asciiTheme="majorHAnsi" w:hAnsiTheme="majorHAnsi" w:cstheme="majorHAnsi"/>
          <w:sz w:val="24"/>
          <w:szCs w:val="24"/>
          <w:lang w:val="en-US"/>
        </w:rPr>
        <w:t>Advance leadership and learning for all.</w:t>
      </w:r>
    </w:p>
    <w:p w14:paraId="797697EB" w14:textId="77777777" w:rsidR="008F4A06" w:rsidRPr="003A57CF" w:rsidRDefault="008F4A06" w:rsidP="008F4A06">
      <w:pPr>
        <w:pStyle w:val="NoSpacing"/>
        <w:rPr>
          <w:rFonts w:asciiTheme="majorHAnsi" w:hAnsiTheme="majorHAnsi" w:cstheme="majorHAnsi"/>
          <w:sz w:val="24"/>
          <w:szCs w:val="24"/>
          <w:lang w:val="en-US"/>
        </w:rPr>
      </w:pPr>
    </w:p>
    <w:p w14:paraId="3862DAE6" w14:textId="1D0AC92E" w:rsidR="00854FA7" w:rsidRPr="003A57CF" w:rsidRDefault="00854FA7" w:rsidP="00854FA7">
      <w:pPr>
        <w:pStyle w:val="NoSpacing"/>
        <w:rPr>
          <w:rFonts w:asciiTheme="majorHAnsi" w:hAnsiTheme="majorHAnsi" w:cstheme="majorHAnsi"/>
          <w:sz w:val="24"/>
          <w:szCs w:val="24"/>
          <w:lang w:val="en-US"/>
        </w:rPr>
      </w:pPr>
      <w:r w:rsidRPr="003A57CF">
        <w:rPr>
          <w:rFonts w:asciiTheme="majorHAnsi" w:hAnsiTheme="majorHAnsi" w:cstheme="majorHAnsi"/>
          <w:sz w:val="24"/>
          <w:szCs w:val="24"/>
          <w:lang w:val="en-US"/>
        </w:rPr>
        <w:t>The guiding principles used by the board in the de</w:t>
      </w:r>
      <w:r w:rsidR="00B953FD">
        <w:rPr>
          <w:rFonts w:asciiTheme="majorHAnsi" w:hAnsiTheme="majorHAnsi" w:cstheme="majorHAnsi"/>
          <w:sz w:val="24"/>
          <w:szCs w:val="24"/>
          <w:lang w:val="en-US"/>
        </w:rPr>
        <w:t xml:space="preserve">velopment of the </w:t>
      </w:r>
      <w:r w:rsidR="003B50FF">
        <w:rPr>
          <w:rFonts w:asciiTheme="majorHAnsi" w:hAnsiTheme="majorHAnsi" w:cstheme="majorHAnsi"/>
          <w:sz w:val="24"/>
          <w:szCs w:val="24"/>
          <w:lang w:val="en-US"/>
        </w:rPr>
        <w:t>202</w:t>
      </w:r>
      <w:r w:rsidR="00A85BD8">
        <w:rPr>
          <w:rFonts w:asciiTheme="majorHAnsi" w:hAnsiTheme="majorHAnsi" w:cstheme="majorHAnsi"/>
          <w:sz w:val="24"/>
          <w:szCs w:val="24"/>
          <w:lang w:val="en-US"/>
        </w:rPr>
        <w:t>2</w:t>
      </w:r>
      <w:r w:rsidR="003B50FF">
        <w:rPr>
          <w:rFonts w:asciiTheme="majorHAnsi" w:hAnsiTheme="majorHAnsi" w:cstheme="majorHAnsi"/>
          <w:sz w:val="24"/>
          <w:szCs w:val="24"/>
          <w:lang w:val="en-US"/>
        </w:rPr>
        <w:t>-2</w:t>
      </w:r>
      <w:r w:rsidR="00A85BD8">
        <w:rPr>
          <w:rFonts w:asciiTheme="majorHAnsi" w:hAnsiTheme="majorHAnsi" w:cstheme="majorHAnsi"/>
          <w:sz w:val="24"/>
          <w:szCs w:val="24"/>
          <w:lang w:val="en-US"/>
        </w:rPr>
        <w:t>3</w:t>
      </w:r>
      <w:r w:rsidRPr="003A57CF">
        <w:rPr>
          <w:rFonts w:asciiTheme="majorHAnsi" w:hAnsiTheme="majorHAnsi" w:cstheme="majorHAnsi"/>
          <w:sz w:val="24"/>
          <w:szCs w:val="24"/>
          <w:lang w:val="en-US"/>
        </w:rPr>
        <w:t xml:space="preserve"> budget continue to be as follows:</w:t>
      </w:r>
    </w:p>
    <w:p w14:paraId="0186B3AD" w14:textId="098EFE05" w:rsidR="00592827" w:rsidRPr="003A5389" w:rsidRDefault="00854FA7" w:rsidP="003A5389">
      <w:pPr>
        <w:pStyle w:val="NoSpacing"/>
        <w:numPr>
          <w:ilvl w:val="0"/>
          <w:numId w:val="9"/>
        </w:numPr>
        <w:rPr>
          <w:rFonts w:asciiTheme="majorHAnsi" w:hAnsiTheme="majorHAnsi" w:cstheme="majorHAnsi"/>
          <w:sz w:val="24"/>
          <w:szCs w:val="24"/>
          <w:lang w:val="en-US"/>
        </w:rPr>
      </w:pPr>
      <w:r w:rsidRPr="003A57CF">
        <w:rPr>
          <w:rFonts w:asciiTheme="majorHAnsi" w:hAnsiTheme="majorHAnsi" w:cstheme="majorHAnsi"/>
          <w:sz w:val="24"/>
          <w:szCs w:val="24"/>
          <w:lang w:val="en-US"/>
        </w:rPr>
        <w:t>To remain student focused gui</w:t>
      </w:r>
      <w:r w:rsidR="00D26B1C">
        <w:rPr>
          <w:rFonts w:asciiTheme="majorHAnsi" w:hAnsiTheme="majorHAnsi" w:cstheme="majorHAnsi"/>
          <w:sz w:val="24"/>
          <w:szCs w:val="24"/>
          <w:lang w:val="en-US"/>
        </w:rPr>
        <w:t>ded by our</w:t>
      </w:r>
      <w:r w:rsidR="004874A6">
        <w:rPr>
          <w:rFonts w:asciiTheme="majorHAnsi" w:hAnsiTheme="majorHAnsi" w:cstheme="majorHAnsi"/>
          <w:sz w:val="24"/>
          <w:szCs w:val="24"/>
          <w:lang w:val="en-US"/>
        </w:rPr>
        <w:t xml:space="preserve"> multi</w:t>
      </w:r>
      <w:r w:rsidR="00592827">
        <w:rPr>
          <w:rFonts w:asciiTheme="majorHAnsi" w:hAnsiTheme="majorHAnsi" w:cstheme="majorHAnsi"/>
          <w:sz w:val="24"/>
          <w:szCs w:val="24"/>
          <w:lang w:val="en-US"/>
        </w:rPr>
        <w:t>-year</w:t>
      </w:r>
      <w:r w:rsidR="00D26B1C">
        <w:rPr>
          <w:rFonts w:asciiTheme="majorHAnsi" w:hAnsiTheme="majorHAnsi" w:cstheme="majorHAnsi"/>
          <w:sz w:val="24"/>
          <w:szCs w:val="24"/>
          <w:lang w:val="en-US"/>
        </w:rPr>
        <w:t xml:space="preserve"> strategic p</w:t>
      </w:r>
      <w:r w:rsidR="00592827">
        <w:rPr>
          <w:rFonts w:asciiTheme="majorHAnsi" w:hAnsiTheme="majorHAnsi" w:cstheme="majorHAnsi"/>
          <w:sz w:val="24"/>
          <w:szCs w:val="24"/>
          <w:lang w:val="en-US"/>
        </w:rPr>
        <w:t>lan</w:t>
      </w:r>
      <w:r w:rsidRPr="003A57CF">
        <w:rPr>
          <w:rFonts w:asciiTheme="majorHAnsi" w:hAnsiTheme="majorHAnsi" w:cstheme="majorHAnsi"/>
          <w:sz w:val="24"/>
          <w:szCs w:val="24"/>
          <w:lang w:val="en-US"/>
        </w:rPr>
        <w:t>;</w:t>
      </w:r>
    </w:p>
    <w:p w14:paraId="6424566D" w14:textId="3014D26A" w:rsidR="00854FA7" w:rsidRDefault="00854FA7" w:rsidP="00854FA7">
      <w:pPr>
        <w:pStyle w:val="NoSpacing"/>
        <w:numPr>
          <w:ilvl w:val="0"/>
          <w:numId w:val="9"/>
        </w:numPr>
        <w:rPr>
          <w:rFonts w:asciiTheme="majorHAnsi" w:hAnsiTheme="majorHAnsi" w:cstheme="majorHAnsi"/>
          <w:sz w:val="24"/>
          <w:szCs w:val="24"/>
          <w:lang w:val="en-US"/>
        </w:rPr>
      </w:pPr>
      <w:r w:rsidRPr="003A57CF">
        <w:rPr>
          <w:rFonts w:asciiTheme="majorHAnsi" w:hAnsiTheme="majorHAnsi" w:cstheme="majorHAnsi"/>
          <w:sz w:val="24"/>
          <w:szCs w:val="24"/>
          <w:lang w:val="en-US"/>
        </w:rPr>
        <w:t>To preserve programs and enhance deliverables to students;</w:t>
      </w:r>
    </w:p>
    <w:p w14:paraId="61148A95" w14:textId="77777777" w:rsidR="00854FA7" w:rsidRPr="003A57CF" w:rsidRDefault="00854FA7" w:rsidP="00854FA7">
      <w:pPr>
        <w:pStyle w:val="NoSpacing"/>
        <w:numPr>
          <w:ilvl w:val="0"/>
          <w:numId w:val="9"/>
        </w:numPr>
        <w:rPr>
          <w:rFonts w:asciiTheme="majorHAnsi" w:hAnsiTheme="majorHAnsi" w:cstheme="majorHAnsi"/>
          <w:sz w:val="24"/>
          <w:szCs w:val="24"/>
          <w:lang w:val="en-US"/>
        </w:rPr>
      </w:pPr>
      <w:r w:rsidRPr="003A57CF">
        <w:rPr>
          <w:rFonts w:asciiTheme="majorHAnsi" w:hAnsiTheme="majorHAnsi" w:cstheme="majorHAnsi"/>
          <w:sz w:val="24"/>
          <w:szCs w:val="24"/>
          <w:lang w:val="en-US"/>
        </w:rPr>
        <w:t>To increase efficiencies of operations;</w:t>
      </w:r>
    </w:p>
    <w:p w14:paraId="6C15610D" w14:textId="77777777" w:rsidR="00854FA7" w:rsidRPr="003A57CF" w:rsidRDefault="00854FA7" w:rsidP="00854FA7">
      <w:pPr>
        <w:pStyle w:val="NoSpacing"/>
        <w:numPr>
          <w:ilvl w:val="0"/>
          <w:numId w:val="9"/>
        </w:numPr>
        <w:rPr>
          <w:rFonts w:asciiTheme="majorHAnsi" w:hAnsiTheme="majorHAnsi" w:cstheme="majorHAnsi"/>
          <w:sz w:val="24"/>
          <w:szCs w:val="24"/>
          <w:lang w:val="en-US"/>
        </w:rPr>
      </w:pPr>
      <w:r w:rsidRPr="003A57CF">
        <w:rPr>
          <w:rFonts w:asciiTheme="majorHAnsi" w:hAnsiTheme="majorHAnsi" w:cstheme="majorHAnsi"/>
          <w:sz w:val="24"/>
          <w:szCs w:val="24"/>
          <w:lang w:val="en-US"/>
        </w:rPr>
        <w:t>To ensure value for money;</w:t>
      </w:r>
    </w:p>
    <w:p w14:paraId="0B391148" w14:textId="77777777" w:rsidR="00854FA7" w:rsidRPr="003A57CF" w:rsidRDefault="00854FA7" w:rsidP="00854FA7">
      <w:pPr>
        <w:pStyle w:val="NoSpacing"/>
        <w:numPr>
          <w:ilvl w:val="0"/>
          <w:numId w:val="9"/>
        </w:numPr>
        <w:rPr>
          <w:rFonts w:asciiTheme="majorHAnsi" w:hAnsiTheme="majorHAnsi" w:cstheme="majorHAnsi"/>
          <w:sz w:val="24"/>
          <w:szCs w:val="24"/>
          <w:lang w:val="en-US"/>
        </w:rPr>
      </w:pPr>
      <w:r w:rsidRPr="003A57CF">
        <w:rPr>
          <w:rFonts w:asciiTheme="majorHAnsi" w:hAnsiTheme="majorHAnsi" w:cstheme="majorHAnsi"/>
          <w:sz w:val="24"/>
          <w:szCs w:val="24"/>
          <w:lang w:val="en-US"/>
        </w:rPr>
        <w:t>To take a conservative approach; and</w:t>
      </w:r>
    </w:p>
    <w:p w14:paraId="2758BDD1" w14:textId="77777777" w:rsidR="00854FA7" w:rsidRPr="003A57CF" w:rsidRDefault="00854FA7" w:rsidP="00854FA7">
      <w:pPr>
        <w:pStyle w:val="NoSpacing"/>
        <w:numPr>
          <w:ilvl w:val="0"/>
          <w:numId w:val="9"/>
        </w:numPr>
        <w:rPr>
          <w:rFonts w:asciiTheme="majorHAnsi" w:hAnsiTheme="majorHAnsi" w:cstheme="majorHAnsi"/>
          <w:sz w:val="24"/>
          <w:szCs w:val="24"/>
          <w:lang w:val="en-US"/>
        </w:rPr>
      </w:pPr>
      <w:r w:rsidRPr="003A57CF">
        <w:rPr>
          <w:rFonts w:asciiTheme="majorHAnsi" w:hAnsiTheme="majorHAnsi" w:cstheme="majorHAnsi"/>
          <w:sz w:val="24"/>
          <w:szCs w:val="24"/>
          <w:lang w:val="en-US"/>
        </w:rPr>
        <w:t>To ensure legislative compliance.</w:t>
      </w:r>
    </w:p>
    <w:p w14:paraId="427F59C0" w14:textId="77777777" w:rsidR="00CE0983" w:rsidRDefault="00CE0983" w:rsidP="00854FA7">
      <w:pPr>
        <w:pStyle w:val="NoSpacing"/>
        <w:rPr>
          <w:rFonts w:asciiTheme="majorHAnsi" w:hAnsiTheme="majorHAnsi" w:cstheme="majorHAnsi"/>
          <w:sz w:val="24"/>
          <w:szCs w:val="24"/>
          <w:lang w:val="en-US"/>
        </w:rPr>
      </w:pPr>
    </w:p>
    <w:p w14:paraId="7F7C67B1" w14:textId="77777777" w:rsidR="00EC1DC1" w:rsidRDefault="00EC1DC1" w:rsidP="00854FA7">
      <w:pPr>
        <w:pStyle w:val="NoSpacing"/>
        <w:rPr>
          <w:rFonts w:asciiTheme="majorHAnsi" w:hAnsiTheme="majorHAnsi" w:cstheme="majorHAnsi"/>
          <w:sz w:val="24"/>
          <w:szCs w:val="24"/>
          <w:lang w:val="en-US"/>
        </w:rPr>
      </w:pPr>
    </w:p>
    <w:p w14:paraId="2017B39D" w14:textId="77777777" w:rsidR="00EC1DC1" w:rsidRDefault="00EC1DC1" w:rsidP="00854FA7">
      <w:pPr>
        <w:pStyle w:val="NoSpacing"/>
        <w:rPr>
          <w:rFonts w:asciiTheme="majorHAnsi" w:hAnsiTheme="majorHAnsi" w:cstheme="majorHAnsi"/>
          <w:sz w:val="24"/>
          <w:szCs w:val="24"/>
          <w:lang w:val="en-US"/>
        </w:rPr>
      </w:pPr>
    </w:p>
    <w:p w14:paraId="6FB40414" w14:textId="62A2F180" w:rsidR="00854FA7" w:rsidRPr="003A57CF" w:rsidRDefault="00854FA7" w:rsidP="00854FA7">
      <w:pPr>
        <w:pStyle w:val="NoSpacing"/>
        <w:rPr>
          <w:rFonts w:asciiTheme="majorHAnsi" w:hAnsiTheme="majorHAnsi" w:cstheme="majorHAnsi"/>
          <w:sz w:val="24"/>
          <w:szCs w:val="24"/>
          <w:lang w:val="en-US"/>
        </w:rPr>
      </w:pPr>
      <w:r w:rsidRPr="003A57CF">
        <w:rPr>
          <w:rFonts w:asciiTheme="majorHAnsi" w:hAnsiTheme="majorHAnsi" w:cstheme="majorHAnsi"/>
          <w:sz w:val="24"/>
          <w:szCs w:val="24"/>
          <w:lang w:val="en-US"/>
        </w:rPr>
        <w:lastRenderedPageBreak/>
        <w:t>Some of the current issues and or trends that the board took into consideration while developing the budget this year are as follows:</w:t>
      </w:r>
    </w:p>
    <w:p w14:paraId="0709F822" w14:textId="77777777" w:rsidR="005666EB" w:rsidRPr="007E3C24" w:rsidRDefault="005666EB" w:rsidP="005666EB">
      <w:pPr>
        <w:pStyle w:val="NoSpacing"/>
        <w:numPr>
          <w:ilvl w:val="0"/>
          <w:numId w:val="10"/>
        </w:numPr>
        <w:rPr>
          <w:rFonts w:asciiTheme="majorHAnsi" w:hAnsiTheme="majorHAnsi" w:cstheme="majorHAnsi"/>
          <w:sz w:val="24"/>
          <w:szCs w:val="24"/>
          <w:lang w:val="en-US"/>
        </w:rPr>
      </w:pPr>
      <w:r w:rsidRPr="007E3C24">
        <w:rPr>
          <w:rFonts w:asciiTheme="majorHAnsi" w:hAnsiTheme="majorHAnsi" w:cstheme="majorHAnsi"/>
          <w:sz w:val="24"/>
          <w:szCs w:val="24"/>
          <w:lang w:val="en-US"/>
        </w:rPr>
        <w:t>Classroom environments must reflect 21</w:t>
      </w:r>
      <w:r w:rsidRPr="007E3C24">
        <w:rPr>
          <w:rFonts w:asciiTheme="majorHAnsi" w:hAnsiTheme="majorHAnsi" w:cstheme="majorHAnsi"/>
          <w:sz w:val="24"/>
          <w:szCs w:val="24"/>
          <w:vertAlign w:val="superscript"/>
          <w:lang w:val="en-US"/>
        </w:rPr>
        <w:t>st</w:t>
      </w:r>
      <w:r w:rsidRPr="007E3C24">
        <w:rPr>
          <w:rFonts w:asciiTheme="majorHAnsi" w:hAnsiTheme="majorHAnsi" w:cstheme="majorHAnsi"/>
          <w:sz w:val="24"/>
          <w:szCs w:val="24"/>
          <w:lang w:val="en-US"/>
        </w:rPr>
        <w:t xml:space="preserve"> century pedagogy;</w:t>
      </w:r>
    </w:p>
    <w:p w14:paraId="2480ED45" w14:textId="71194AE0" w:rsidR="005666EB" w:rsidRPr="007E3C24" w:rsidRDefault="005666EB" w:rsidP="005666EB">
      <w:pPr>
        <w:pStyle w:val="NoSpacing"/>
        <w:numPr>
          <w:ilvl w:val="0"/>
          <w:numId w:val="10"/>
        </w:numPr>
        <w:rPr>
          <w:rFonts w:asciiTheme="majorHAnsi" w:hAnsiTheme="majorHAnsi" w:cstheme="majorHAnsi"/>
          <w:sz w:val="24"/>
          <w:szCs w:val="24"/>
          <w:lang w:val="en-US"/>
        </w:rPr>
      </w:pPr>
      <w:r w:rsidRPr="007E3C24">
        <w:rPr>
          <w:rFonts w:asciiTheme="majorHAnsi" w:hAnsiTheme="majorHAnsi" w:cstheme="majorHAnsi"/>
          <w:sz w:val="24"/>
          <w:szCs w:val="24"/>
          <w:lang w:val="en-US"/>
        </w:rPr>
        <w:t>Promot</w:t>
      </w:r>
      <w:r w:rsidR="0036273C">
        <w:rPr>
          <w:rFonts w:asciiTheme="majorHAnsi" w:hAnsiTheme="majorHAnsi" w:cstheme="majorHAnsi"/>
          <w:sz w:val="24"/>
          <w:szCs w:val="24"/>
          <w:lang w:val="en-US"/>
        </w:rPr>
        <w:t>ing</w:t>
      </w:r>
      <w:r w:rsidRPr="007E3C24">
        <w:rPr>
          <w:rFonts w:asciiTheme="majorHAnsi" w:hAnsiTheme="majorHAnsi" w:cstheme="majorHAnsi"/>
          <w:sz w:val="24"/>
          <w:szCs w:val="24"/>
          <w:lang w:val="en-US"/>
        </w:rPr>
        <w:t xml:space="preserve"> professional learning for </w:t>
      </w:r>
      <w:r>
        <w:rPr>
          <w:rFonts w:asciiTheme="majorHAnsi" w:hAnsiTheme="majorHAnsi" w:cstheme="majorHAnsi"/>
          <w:sz w:val="24"/>
          <w:szCs w:val="24"/>
          <w:lang w:val="en-US"/>
        </w:rPr>
        <w:t>educators</w:t>
      </w:r>
      <w:r w:rsidRPr="007E3C24">
        <w:rPr>
          <w:rFonts w:asciiTheme="majorHAnsi" w:hAnsiTheme="majorHAnsi" w:cstheme="majorHAnsi"/>
          <w:sz w:val="24"/>
          <w:szCs w:val="24"/>
          <w:lang w:val="en-US"/>
        </w:rPr>
        <w:t xml:space="preserve"> to meet the needs of 21</w:t>
      </w:r>
      <w:r w:rsidRPr="007E3C24">
        <w:rPr>
          <w:rFonts w:asciiTheme="majorHAnsi" w:hAnsiTheme="majorHAnsi" w:cstheme="majorHAnsi"/>
          <w:sz w:val="24"/>
          <w:szCs w:val="24"/>
          <w:vertAlign w:val="superscript"/>
          <w:lang w:val="en-US"/>
        </w:rPr>
        <w:t>st</w:t>
      </w:r>
      <w:r w:rsidRPr="007E3C24">
        <w:rPr>
          <w:rFonts w:asciiTheme="majorHAnsi" w:hAnsiTheme="majorHAnsi" w:cstheme="majorHAnsi"/>
          <w:sz w:val="24"/>
          <w:szCs w:val="24"/>
          <w:lang w:val="en-US"/>
        </w:rPr>
        <w:t xml:space="preserve"> century learners;</w:t>
      </w:r>
    </w:p>
    <w:p w14:paraId="011B3D66" w14:textId="77777777" w:rsidR="005666EB" w:rsidRPr="007E3C24" w:rsidRDefault="005666EB" w:rsidP="005666EB">
      <w:pPr>
        <w:pStyle w:val="NoSpacing"/>
        <w:numPr>
          <w:ilvl w:val="0"/>
          <w:numId w:val="10"/>
        </w:numPr>
        <w:rPr>
          <w:rFonts w:asciiTheme="majorHAnsi" w:hAnsiTheme="majorHAnsi" w:cstheme="majorHAnsi"/>
          <w:sz w:val="24"/>
          <w:szCs w:val="24"/>
          <w:lang w:val="en-US"/>
        </w:rPr>
      </w:pPr>
      <w:r w:rsidRPr="007E3C24">
        <w:rPr>
          <w:rFonts w:asciiTheme="majorHAnsi" w:hAnsiTheme="majorHAnsi" w:cstheme="majorHAnsi"/>
          <w:sz w:val="24"/>
          <w:szCs w:val="24"/>
          <w:lang w:val="en-US"/>
        </w:rPr>
        <w:t>Succession planning and leadership development;</w:t>
      </w:r>
    </w:p>
    <w:p w14:paraId="0D0F108E" w14:textId="77777777" w:rsidR="005666EB" w:rsidRPr="007E3C24" w:rsidRDefault="005666EB" w:rsidP="005666EB">
      <w:pPr>
        <w:pStyle w:val="NoSpacing"/>
        <w:numPr>
          <w:ilvl w:val="0"/>
          <w:numId w:val="10"/>
        </w:numPr>
        <w:rPr>
          <w:rFonts w:asciiTheme="majorHAnsi" w:hAnsiTheme="majorHAnsi" w:cstheme="majorHAnsi"/>
          <w:sz w:val="24"/>
          <w:szCs w:val="24"/>
          <w:lang w:val="en-US"/>
        </w:rPr>
      </w:pPr>
      <w:r>
        <w:rPr>
          <w:rFonts w:asciiTheme="majorHAnsi" w:hAnsiTheme="majorHAnsi" w:cstheme="majorHAnsi"/>
          <w:sz w:val="24"/>
          <w:szCs w:val="24"/>
          <w:lang w:val="en-US"/>
        </w:rPr>
        <w:t>Growing</w:t>
      </w:r>
      <w:r w:rsidRPr="007E3C24">
        <w:rPr>
          <w:rFonts w:asciiTheme="majorHAnsi" w:hAnsiTheme="majorHAnsi" w:cstheme="majorHAnsi"/>
          <w:sz w:val="24"/>
          <w:szCs w:val="24"/>
          <w:lang w:val="en-US"/>
        </w:rPr>
        <w:t xml:space="preserve"> diversity </w:t>
      </w:r>
      <w:r>
        <w:rPr>
          <w:rFonts w:asciiTheme="majorHAnsi" w:hAnsiTheme="majorHAnsi" w:cstheme="majorHAnsi"/>
          <w:sz w:val="24"/>
          <w:szCs w:val="24"/>
          <w:lang w:val="en-US"/>
        </w:rPr>
        <w:t xml:space="preserve">and complexity </w:t>
      </w:r>
      <w:r w:rsidRPr="007E3C24">
        <w:rPr>
          <w:rFonts w:asciiTheme="majorHAnsi" w:hAnsiTheme="majorHAnsi" w:cstheme="majorHAnsi"/>
          <w:sz w:val="24"/>
          <w:szCs w:val="24"/>
          <w:lang w:val="en-US"/>
        </w:rPr>
        <w:t xml:space="preserve">of needs of our Sudbury Catholic </w:t>
      </w:r>
      <w:r>
        <w:rPr>
          <w:rFonts w:asciiTheme="majorHAnsi" w:hAnsiTheme="majorHAnsi" w:cstheme="majorHAnsi"/>
          <w:sz w:val="24"/>
          <w:szCs w:val="24"/>
          <w:lang w:val="en-US"/>
        </w:rPr>
        <w:t xml:space="preserve">School </w:t>
      </w:r>
      <w:r w:rsidRPr="007E3C24">
        <w:rPr>
          <w:rFonts w:asciiTheme="majorHAnsi" w:hAnsiTheme="majorHAnsi" w:cstheme="majorHAnsi"/>
          <w:sz w:val="24"/>
          <w:szCs w:val="24"/>
          <w:lang w:val="en-US"/>
        </w:rPr>
        <w:t>community;</w:t>
      </w:r>
    </w:p>
    <w:p w14:paraId="15FAC84B" w14:textId="3AF732AD" w:rsidR="005666EB" w:rsidRPr="007E3C24" w:rsidRDefault="005666EB" w:rsidP="005666EB">
      <w:pPr>
        <w:pStyle w:val="NoSpacing"/>
        <w:numPr>
          <w:ilvl w:val="0"/>
          <w:numId w:val="10"/>
        </w:numPr>
        <w:rPr>
          <w:rFonts w:asciiTheme="majorHAnsi" w:hAnsiTheme="majorHAnsi" w:cstheme="majorHAnsi"/>
          <w:sz w:val="24"/>
          <w:szCs w:val="24"/>
          <w:lang w:val="en-US"/>
        </w:rPr>
      </w:pPr>
      <w:r w:rsidRPr="007E3C24">
        <w:rPr>
          <w:rFonts w:asciiTheme="majorHAnsi" w:hAnsiTheme="majorHAnsi" w:cstheme="majorHAnsi"/>
          <w:sz w:val="24"/>
          <w:szCs w:val="24"/>
          <w:lang w:val="en-US"/>
        </w:rPr>
        <w:t>Continu</w:t>
      </w:r>
      <w:r w:rsidR="001A363F">
        <w:rPr>
          <w:rFonts w:asciiTheme="majorHAnsi" w:hAnsiTheme="majorHAnsi" w:cstheme="majorHAnsi"/>
          <w:sz w:val="24"/>
          <w:szCs w:val="24"/>
          <w:lang w:val="en-US"/>
        </w:rPr>
        <w:t>ing</w:t>
      </w:r>
      <w:r w:rsidRPr="007E3C24">
        <w:rPr>
          <w:rFonts w:asciiTheme="majorHAnsi" w:hAnsiTheme="majorHAnsi" w:cstheme="majorHAnsi"/>
          <w:sz w:val="24"/>
          <w:szCs w:val="24"/>
          <w:lang w:val="en-US"/>
        </w:rPr>
        <w:t xml:space="preserve"> green initiatives </w:t>
      </w:r>
      <w:r>
        <w:rPr>
          <w:rFonts w:asciiTheme="majorHAnsi" w:hAnsiTheme="majorHAnsi" w:cstheme="majorHAnsi"/>
          <w:sz w:val="24"/>
          <w:szCs w:val="24"/>
          <w:lang w:val="en-US"/>
        </w:rPr>
        <w:t>in</w:t>
      </w:r>
      <w:r w:rsidRPr="007E3C24">
        <w:rPr>
          <w:rFonts w:asciiTheme="majorHAnsi" w:hAnsiTheme="majorHAnsi" w:cstheme="majorHAnsi"/>
          <w:sz w:val="24"/>
          <w:szCs w:val="24"/>
          <w:lang w:val="en-US"/>
        </w:rPr>
        <w:t xml:space="preserve"> long term plan</w:t>
      </w:r>
      <w:r>
        <w:rPr>
          <w:rFonts w:asciiTheme="majorHAnsi" w:hAnsiTheme="majorHAnsi" w:cstheme="majorHAnsi"/>
          <w:sz w:val="24"/>
          <w:szCs w:val="24"/>
          <w:lang w:val="en-US"/>
        </w:rPr>
        <w:t>ning</w:t>
      </w:r>
      <w:r w:rsidRPr="007E3C24">
        <w:rPr>
          <w:rFonts w:asciiTheme="majorHAnsi" w:hAnsiTheme="majorHAnsi" w:cstheme="majorHAnsi"/>
          <w:sz w:val="24"/>
          <w:szCs w:val="24"/>
          <w:lang w:val="en-US"/>
        </w:rPr>
        <w:t>;</w:t>
      </w:r>
    </w:p>
    <w:p w14:paraId="50E2A6C5" w14:textId="77777777" w:rsidR="005666EB" w:rsidRPr="007E3C24" w:rsidRDefault="005666EB" w:rsidP="005666EB">
      <w:pPr>
        <w:pStyle w:val="NoSpacing"/>
        <w:numPr>
          <w:ilvl w:val="0"/>
          <w:numId w:val="10"/>
        </w:numPr>
        <w:rPr>
          <w:rFonts w:asciiTheme="majorHAnsi" w:hAnsiTheme="majorHAnsi" w:cstheme="majorHAnsi"/>
          <w:sz w:val="24"/>
          <w:szCs w:val="24"/>
          <w:lang w:val="en-US"/>
        </w:rPr>
      </w:pPr>
      <w:r w:rsidRPr="007E3C24">
        <w:rPr>
          <w:rFonts w:asciiTheme="majorHAnsi" w:hAnsiTheme="majorHAnsi" w:cstheme="majorHAnsi"/>
          <w:sz w:val="24"/>
          <w:szCs w:val="24"/>
          <w:lang w:val="en-US"/>
        </w:rPr>
        <w:t>Continue with AODA planning and implementation;</w:t>
      </w:r>
    </w:p>
    <w:p w14:paraId="2224BAA2" w14:textId="77777777" w:rsidR="005666EB" w:rsidRDefault="005666EB" w:rsidP="005666EB">
      <w:pPr>
        <w:pStyle w:val="NoSpacing"/>
        <w:numPr>
          <w:ilvl w:val="0"/>
          <w:numId w:val="10"/>
        </w:numPr>
        <w:rPr>
          <w:rFonts w:asciiTheme="majorHAnsi" w:hAnsiTheme="majorHAnsi" w:cstheme="majorHAnsi"/>
          <w:sz w:val="24"/>
          <w:szCs w:val="24"/>
          <w:lang w:val="en-US"/>
        </w:rPr>
      </w:pPr>
      <w:r w:rsidRPr="007E3C24">
        <w:rPr>
          <w:rFonts w:asciiTheme="majorHAnsi" w:hAnsiTheme="majorHAnsi" w:cstheme="majorHAnsi"/>
          <w:sz w:val="24"/>
          <w:szCs w:val="24"/>
          <w:lang w:val="en-US"/>
        </w:rPr>
        <w:t>Uncertainty regarding Priorities and Partnership Funding (PPF);</w:t>
      </w:r>
    </w:p>
    <w:p w14:paraId="76189996" w14:textId="77777777" w:rsidR="005666EB" w:rsidRPr="007E3C24" w:rsidRDefault="005666EB" w:rsidP="005666EB">
      <w:pPr>
        <w:pStyle w:val="NoSpacing"/>
        <w:numPr>
          <w:ilvl w:val="0"/>
          <w:numId w:val="10"/>
        </w:numPr>
        <w:rPr>
          <w:rFonts w:asciiTheme="majorHAnsi" w:hAnsiTheme="majorHAnsi" w:cstheme="majorHAnsi"/>
          <w:sz w:val="24"/>
          <w:szCs w:val="24"/>
          <w:lang w:val="en-US"/>
        </w:rPr>
      </w:pPr>
      <w:r>
        <w:rPr>
          <w:rFonts w:asciiTheme="majorHAnsi" w:hAnsiTheme="majorHAnsi" w:cstheme="majorHAnsi"/>
          <w:sz w:val="24"/>
          <w:szCs w:val="24"/>
          <w:lang w:val="en-US"/>
        </w:rPr>
        <w:t>Supply chain challenges – cost and availability of resources and people;</w:t>
      </w:r>
    </w:p>
    <w:p w14:paraId="28C90D4C" w14:textId="77777777" w:rsidR="005666EB" w:rsidRDefault="005666EB" w:rsidP="005666EB">
      <w:pPr>
        <w:pStyle w:val="NoSpacing"/>
        <w:numPr>
          <w:ilvl w:val="0"/>
          <w:numId w:val="10"/>
        </w:numPr>
        <w:rPr>
          <w:rFonts w:asciiTheme="majorHAnsi" w:hAnsiTheme="majorHAnsi" w:cstheme="majorHAnsi"/>
          <w:sz w:val="24"/>
          <w:szCs w:val="24"/>
          <w:lang w:val="en-US"/>
        </w:rPr>
      </w:pPr>
      <w:r>
        <w:rPr>
          <w:rFonts w:asciiTheme="majorHAnsi" w:hAnsiTheme="majorHAnsi" w:cstheme="majorHAnsi"/>
          <w:sz w:val="24"/>
          <w:szCs w:val="24"/>
          <w:lang w:val="en-US"/>
        </w:rPr>
        <w:t>Increasing l</w:t>
      </w:r>
      <w:r w:rsidRPr="007E3C24">
        <w:rPr>
          <w:rFonts w:asciiTheme="majorHAnsi" w:hAnsiTheme="majorHAnsi" w:cstheme="majorHAnsi"/>
          <w:sz w:val="24"/>
          <w:szCs w:val="24"/>
          <w:lang w:val="en-US"/>
        </w:rPr>
        <w:t>evels of absen</w:t>
      </w:r>
      <w:r>
        <w:rPr>
          <w:rFonts w:asciiTheme="majorHAnsi" w:hAnsiTheme="majorHAnsi" w:cstheme="majorHAnsi"/>
          <w:sz w:val="24"/>
          <w:szCs w:val="24"/>
          <w:lang w:val="en-US"/>
        </w:rPr>
        <w:t>ces</w:t>
      </w:r>
      <w:r w:rsidRPr="007E3C24">
        <w:rPr>
          <w:rFonts w:asciiTheme="majorHAnsi" w:hAnsiTheme="majorHAnsi" w:cstheme="majorHAnsi"/>
          <w:sz w:val="24"/>
          <w:szCs w:val="24"/>
          <w:lang w:val="en-US"/>
        </w:rPr>
        <w:t>;</w:t>
      </w:r>
    </w:p>
    <w:p w14:paraId="440FF58D" w14:textId="77777777" w:rsidR="005666EB" w:rsidRPr="007E3C24" w:rsidRDefault="005666EB" w:rsidP="005666EB">
      <w:pPr>
        <w:pStyle w:val="NoSpacing"/>
        <w:numPr>
          <w:ilvl w:val="0"/>
          <w:numId w:val="10"/>
        </w:numPr>
        <w:rPr>
          <w:rFonts w:asciiTheme="majorHAnsi" w:hAnsiTheme="majorHAnsi" w:cstheme="majorHAnsi"/>
          <w:sz w:val="24"/>
          <w:szCs w:val="24"/>
          <w:lang w:val="en-US"/>
        </w:rPr>
      </w:pPr>
      <w:r>
        <w:rPr>
          <w:rFonts w:asciiTheme="majorHAnsi" w:hAnsiTheme="majorHAnsi" w:cstheme="majorHAnsi"/>
          <w:sz w:val="24"/>
          <w:szCs w:val="24"/>
          <w:lang w:val="en-US"/>
        </w:rPr>
        <w:t>Commencement of collective bargaining;</w:t>
      </w:r>
    </w:p>
    <w:p w14:paraId="334BED01" w14:textId="77777777" w:rsidR="005666EB" w:rsidRPr="007E3C24" w:rsidRDefault="005666EB" w:rsidP="005666EB">
      <w:pPr>
        <w:pStyle w:val="NoSpacing"/>
        <w:numPr>
          <w:ilvl w:val="0"/>
          <w:numId w:val="10"/>
        </w:numPr>
        <w:rPr>
          <w:rFonts w:asciiTheme="majorHAnsi" w:hAnsiTheme="majorHAnsi" w:cstheme="majorHAnsi"/>
          <w:sz w:val="24"/>
          <w:szCs w:val="24"/>
          <w:lang w:val="en-US"/>
        </w:rPr>
      </w:pPr>
      <w:r w:rsidRPr="007E3C24">
        <w:rPr>
          <w:rFonts w:asciiTheme="majorHAnsi" w:hAnsiTheme="majorHAnsi" w:cstheme="majorHAnsi"/>
          <w:sz w:val="24"/>
          <w:szCs w:val="24"/>
          <w:lang w:val="en-US"/>
        </w:rPr>
        <w:t>Growth that is unpredictable;</w:t>
      </w:r>
    </w:p>
    <w:p w14:paraId="02CFFD7C" w14:textId="7AC01991" w:rsidR="005666EB" w:rsidRPr="007E3C24" w:rsidRDefault="005666EB" w:rsidP="005666EB">
      <w:pPr>
        <w:pStyle w:val="NoSpacing"/>
        <w:numPr>
          <w:ilvl w:val="0"/>
          <w:numId w:val="10"/>
        </w:numPr>
        <w:rPr>
          <w:rFonts w:asciiTheme="majorHAnsi" w:hAnsiTheme="majorHAnsi" w:cstheme="majorHAnsi"/>
          <w:sz w:val="24"/>
          <w:szCs w:val="24"/>
          <w:lang w:val="en-US"/>
        </w:rPr>
      </w:pPr>
      <w:r w:rsidRPr="007E3C24">
        <w:rPr>
          <w:rFonts w:asciiTheme="majorHAnsi" w:hAnsiTheme="majorHAnsi" w:cstheme="majorHAnsi"/>
          <w:sz w:val="24"/>
          <w:szCs w:val="24"/>
          <w:lang w:val="en-US"/>
        </w:rPr>
        <w:t xml:space="preserve">The </w:t>
      </w:r>
      <w:r w:rsidR="00550C02">
        <w:rPr>
          <w:rFonts w:asciiTheme="majorHAnsi" w:hAnsiTheme="majorHAnsi" w:cstheme="majorHAnsi"/>
          <w:sz w:val="24"/>
          <w:szCs w:val="24"/>
          <w:lang w:val="en-US"/>
        </w:rPr>
        <w:t xml:space="preserve">continuing </w:t>
      </w:r>
      <w:r w:rsidRPr="007E3C24">
        <w:rPr>
          <w:rFonts w:asciiTheme="majorHAnsi" w:hAnsiTheme="majorHAnsi" w:cstheme="majorHAnsi"/>
          <w:sz w:val="24"/>
          <w:szCs w:val="24"/>
          <w:lang w:val="en-US"/>
        </w:rPr>
        <w:t>impact of COVID-19</w:t>
      </w:r>
      <w:r w:rsidR="001D7A96">
        <w:rPr>
          <w:rFonts w:asciiTheme="majorHAnsi" w:hAnsiTheme="majorHAnsi" w:cstheme="majorHAnsi"/>
          <w:sz w:val="24"/>
          <w:szCs w:val="24"/>
          <w:lang w:val="en-US"/>
        </w:rPr>
        <w:t>, including the impact on student learning</w:t>
      </w:r>
      <w:r w:rsidRPr="007E3C24">
        <w:rPr>
          <w:rFonts w:asciiTheme="majorHAnsi" w:hAnsiTheme="majorHAnsi" w:cstheme="majorHAnsi"/>
          <w:sz w:val="24"/>
          <w:szCs w:val="24"/>
          <w:lang w:val="en-US"/>
        </w:rPr>
        <w:t>.</w:t>
      </w:r>
    </w:p>
    <w:p w14:paraId="7B820EDA" w14:textId="77777777" w:rsidR="00854FA7" w:rsidRPr="003A57CF" w:rsidRDefault="00854FA7" w:rsidP="00854FA7">
      <w:pPr>
        <w:pStyle w:val="NoSpacing"/>
        <w:rPr>
          <w:rFonts w:asciiTheme="majorHAnsi" w:hAnsiTheme="majorHAnsi" w:cstheme="majorHAnsi"/>
          <w:sz w:val="24"/>
          <w:szCs w:val="24"/>
          <w:lang w:val="en-US"/>
        </w:rPr>
      </w:pPr>
    </w:p>
    <w:p w14:paraId="18ADF3F1" w14:textId="06EC9CBA" w:rsidR="00A54B39" w:rsidRPr="003A57CF" w:rsidRDefault="00F979E0" w:rsidP="00A54B39">
      <w:pPr>
        <w:pStyle w:val="Heading1"/>
        <w:rPr>
          <w:rFonts w:eastAsia="Calibri" w:cstheme="majorHAnsi"/>
          <w:lang w:val="en-US"/>
        </w:rPr>
      </w:pPr>
      <w:bookmarkStart w:id="1" w:name="_Toc104628852"/>
      <w:r>
        <w:rPr>
          <w:rFonts w:cstheme="majorHAnsi"/>
          <w:lang w:val="en-US"/>
        </w:rPr>
        <w:t xml:space="preserve">Highlights of the </w:t>
      </w:r>
      <w:r w:rsidR="003B50FF">
        <w:rPr>
          <w:rFonts w:cstheme="majorHAnsi"/>
          <w:lang w:val="en-US"/>
        </w:rPr>
        <w:t>202</w:t>
      </w:r>
      <w:r w:rsidR="000026A9">
        <w:rPr>
          <w:rFonts w:cstheme="majorHAnsi"/>
          <w:lang w:val="en-US"/>
        </w:rPr>
        <w:t>2</w:t>
      </w:r>
      <w:r w:rsidR="003B50FF">
        <w:rPr>
          <w:rFonts w:cstheme="majorHAnsi"/>
          <w:lang w:val="en-US"/>
        </w:rPr>
        <w:t>-2</w:t>
      </w:r>
      <w:r w:rsidR="000026A9">
        <w:rPr>
          <w:rFonts w:cstheme="majorHAnsi"/>
          <w:lang w:val="en-US"/>
        </w:rPr>
        <w:t>3</w:t>
      </w:r>
      <w:r w:rsidR="00A54B39" w:rsidRPr="003A57CF">
        <w:rPr>
          <w:rFonts w:cstheme="majorHAnsi"/>
          <w:lang w:val="en-US"/>
        </w:rPr>
        <w:t xml:space="preserve"> Grants for Students Needs</w:t>
      </w:r>
      <w:bookmarkEnd w:id="1"/>
    </w:p>
    <w:p w14:paraId="52A57156" w14:textId="5EA0FF9E" w:rsidR="00854FA7" w:rsidRPr="003A57CF" w:rsidRDefault="00854FA7" w:rsidP="00854FA7">
      <w:pPr>
        <w:pStyle w:val="NoSpacing"/>
        <w:rPr>
          <w:rFonts w:asciiTheme="majorHAnsi" w:hAnsiTheme="majorHAnsi" w:cstheme="majorHAnsi"/>
          <w:lang w:val="en-US"/>
        </w:rPr>
      </w:pPr>
    </w:p>
    <w:p w14:paraId="1366A655" w14:textId="1F5E12AC" w:rsidR="000026A9" w:rsidRPr="000026A9" w:rsidRDefault="00987F34" w:rsidP="000026A9">
      <w:pPr>
        <w:spacing w:after="0" w:line="240" w:lineRule="auto"/>
        <w:rPr>
          <w:rFonts w:asciiTheme="majorHAnsi" w:eastAsia="Times" w:hAnsiTheme="majorHAnsi" w:cstheme="majorHAnsi"/>
          <w:sz w:val="24"/>
          <w:szCs w:val="24"/>
        </w:rPr>
      </w:pPr>
      <w:r w:rsidRPr="00987F34">
        <w:rPr>
          <w:rFonts w:asciiTheme="majorHAnsi" w:eastAsia="Times" w:hAnsiTheme="majorHAnsi" w:cstheme="majorHAnsi"/>
          <w:sz w:val="24"/>
          <w:szCs w:val="24"/>
        </w:rPr>
        <w:t xml:space="preserve">On </w:t>
      </w:r>
      <w:r w:rsidR="000026A9">
        <w:rPr>
          <w:rFonts w:asciiTheme="majorHAnsi" w:eastAsia="Times" w:hAnsiTheme="majorHAnsi" w:cstheme="majorHAnsi"/>
          <w:sz w:val="24"/>
          <w:szCs w:val="24"/>
        </w:rPr>
        <w:t>February 17</w:t>
      </w:r>
      <w:r w:rsidRPr="00987F34">
        <w:rPr>
          <w:rFonts w:asciiTheme="majorHAnsi" w:eastAsia="Times" w:hAnsiTheme="majorHAnsi" w:cstheme="majorHAnsi"/>
          <w:sz w:val="24"/>
          <w:szCs w:val="24"/>
        </w:rPr>
        <w:t>, 202</w:t>
      </w:r>
      <w:r w:rsidR="000026A9">
        <w:rPr>
          <w:rFonts w:asciiTheme="majorHAnsi" w:eastAsia="Times" w:hAnsiTheme="majorHAnsi" w:cstheme="majorHAnsi"/>
          <w:sz w:val="24"/>
          <w:szCs w:val="24"/>
        </w:rPr>
        <w:t>2</w:t>
      </w:r>
      <w:r w:rsidRPr="00987F34">
        <w:rPr>
          <w:rFonts w:asciiTheme="majorHAnsi" w:eastAsia="Times" w:hAnsiTheme="majorHAnsi" w:cstheme="majorHAnsi"/>
          <w:sz w:val="24"/>
          <w:szCs w:val="24"/>
        </w:rPr>
        <w:t xml:space="preserve"> the Ministry of Education issued the following </w:t>
      </w:r>
      <w:r w:rsidR="00F030D0" w:rsidRPr="00987F34">
        <w:rPr>
          <w:rFonts w:asciiTheme="majorHAnsi" w:eastAsia="Times" w:hAnsiTheme="majorHAnsi" w:cstheme="majorHAnsi"/>
          <w:sz w:val="24"/>
          <w:szCs w:val="24"/>
        </w:rPr>
        <w:t>memorand</w:t>
      </w:r>
      <w:r w:rsidR="00F030D0">
        <w:rPr>
          <w:rFonts w:asciiTheme="majorHAnsi" w:eastAsia="Times" w:hAnsiTheme="majorHAnsi" w:cstheme="majorHAnsi"/>
          <w:sz w:val="24"/>
          <w:szCs w:val="24"/>
        </w:rPr>
        <w:t>a</w:t>
      </w:r>
      <w:r w:rsidRPr="00987F34">
        <w:rPr>
          <w:rFonts w:asciiTheme="majorHAnsi" w:eastAsia="Times" w:hAnsiTheme="majorHAnsi" w:cstheme="majorHAnsi"/>
          <w:sz w:val="24"/>
          <w:szCs w:val="24"/>
        </w:rPr>
        <w:t xml:space="preserve"> summarizing the changes and updates to the Grants for Student Needs funding which set out the funding parameters for the </w:t>
      </w:r>
      <w:r w:rsidR="003B50FF">
        <w:rPr>
          <w:rFonts w:asciiTheme="majorHAnsi" w:eastAsia="Times" w:hAnsiTheme="majorHAnsi" w:cstheme="majorHAnsi"/>
          <w:sz w:val="24"/>
          <w:szCs w:val="24"/>
        </w:rPr>
        <w:t>202</w:t>
      </w:r>
      <w:r w:rsidR="000026A9">
        <w:rPr>
          <w:rFonts w:asciiTheme="majorHAnsi" w:eastAsia="Times" w:hAnsiTheme="majorHAnsi" w:cstheme="majorHAnsi"/>
          <w:sz w:val="24"/>
          <w:szCs w:val="24"/>
        </w:rPr>
        <w:t>2</w:t>
      </w:r>
      <w:r w:rsidR="003B50FF">
        <w:rPr>
          <w:rFonts w:asciiTheme="majorHAnsi" w:eastAsia="Times" w:hAnsiTheme="majorHAnsi" w:cstheme="majorHAnsi"/>
          <w:sz w:val="24"/>
          <w:szCs w:val="24"/>
        </w:rPr>
        <w:t>-2</w:t>
      </w:r>
      <w:r w:rsidR="000026A9">
        <w:rPr>
          <w:rFonts w:asciiTheme="majorHAnsi" w:eastAsia="Times" w:hAnsiTheme="majorHAnsi" w:cstheme="majorHAnsi"/>
          <w:sz w:val="24"/>
          <w:szCs w:val="24"/>
        </w:rPr>
        <w:t>3</w:t>
      </w:r>
      <w:r w:rsidRPr="00987F34">
        <w:rPr>
          <w:rFonts w:asciiTheme="majorHAnsi" w:eastAsia="Times" w:hAnsiTheme="majorHAnsi" w:cstheme="majorHAnsi"/>
          <w:sz w:val="24"/>
          <w:szCs w:val="24"/>
        </w:rPr>
        <w:t xml:space="preserve"> school year:</w:t>
      </w:r>
    </w:p>
    <w:p w14:paraId="6407D235" w14:textId="77777777" w:rsidR="000026A9" w:rsidRPr="000026A9" w:rsidRDefault="000026A9" w:rsidP="000026A9">
      <w:pPr>
        <w:spacing w:after="0" w:line="240" w:lineRule="auto"/>
        <w:ind w:left="720"/>
        <w:rPr>
          <w:rFonts w:asciiTheme="majorHAnsi" w:eastAsia="Times" w:hAnsiTheme="majorHAnsi" w:cstheme="majorHAnsi"/>
          <w:sz w:val="24"/>
          <w:szCs w:val="24"/>
        </w:rPr>
      </w:pPr>
      <w:r w:rsidRPr="000026A9">
        <w:rPr>
          <w:rFonts w:asciiTheme="majorHAnsi" w:eastAsia="Times" w:hAnsiTheme="majorHAnsi" w:cstheme="majorHAnsi"/>
          <w:sz w:val="24"/>
          <w:szCs w:val="24"/>
        </w:rPr>
        <w:t>2022: B03 – 2022-23 Grants for Student Needs Funding</w:t>
      </w:r>
    </w:p>
    <w:p w14:paraId="1B183876" w14:textId="77777777" w:rsidR="000026A9" w:rsidRPr="000026A9" w:rsidRDefault="000026A9" w:rsidP="000026A9">
      <w:pPr>
        <w:spacing w:after="0" w:line="240" w:lineRule="auto"/>
        <w:ind w:left="720"/>
        <w:rPr>
          <w:rFonts w:asciiTheme="majorHAnsi" w:eastAsia="Times" w:hAnsiTheme="majorHAnsi" w:cstheme="majorHAnsi"/>
          <w:sz w:val="24"/>
          <w:szCs w:val="24"/>
        </w:rPr>
      </w:pPr>
      <w:r w:rsidRPr="000026A9">
        <w:rPr>
          <w:rFonts w:asciiTheme="majorHAnsi" w:eastAsia="Times" w:hAnsiTheme="majorHAnsi" w:cstheme="majorHAnsi"/>
          <w:sz w:val="24"/>
          <w:szCs w:val="24"/>
        </w:rPr>
        <w:t>2022: B04 – Capital Funding for the 2022-23 School Year</w:t>
      </w:r>
    </w:p>
    <w:p w14:paraId="0B3ACE5A" w14:textId="77777777" w:rsidR="000026A9" w:rsidRPr="000026A9" w:rsidRDefault="000026A9" w:rsidP="000026A9">
      <w:pPr>
        <w:spacing w:after="0" w:line="240" w:lineRule="auto"/>
        <w:ind w:left="720"/>
        <w:rPr>
          <w:rFonts w:asciiTheme="majorHAnsi" w:eastAsia="Times" w:hAnsiTheme="majorHAnsi" w:cstheme="majorHAnsi"/>
          <w:sz w:val="24"/>
          <w:szCs w:val="24"/>
        </w:rPr>
      </w:pPr>
      <w:r w:rsidRPr="000026A9">
        <w:rPr>
          <w:rFonts w:asciiTheme="majorHAnsi" w:eastAsia="Times" w:hAnsiTheme="majorHAnsi" w:cstheme="majorHAnsi"/>
          <w:sz w:val="24"/>
          <w:szCs w:val="24"/>
        </w:rPr>
        <w:t>2022: B05 – Priorities and Partnerships Funding (PPF)</w:t>
      </w:r>
    </w:p>
    <w:p w14:paraId="62C74FFE" w14:textId="6996CA9C" w:rsidR="00987F34" w:rsidRPr="00987F34" w:rsidRDefault="000026A9" w:rsidP="00485A40">
      <w:pPr>
        <w:spacing w:after="0" w:line="240" w:lineRule="auto"/>
        <w:ind w:left="720"/>
        <w:rPr>
          <w:rFonts w:asciiTheme="majorHAnsi" w:eastAsia="Times" w:hAnsiTheme="majorHAnsi" w:cstheme="majorHAnsi"/>
          <w:sz w:val="24"/>
          <w:szCs w:val="24"/>
        </w:rPr>
      </w:pPr>
      <w:r w:rsidRPr="000026A9">
        <w:rPr>
          <w:rFonts w:asciiTheme="majorHAnsi" w:eastAsia="Times" w:hAnsiTheme="majorHAnsi" w:cstheme="majorHAnsi"/>
          <w:sz w:val="24"/>
          <w:szCs w:val="24"/>
        </w:rPr>
        <w:t>2022:SB04 – Student Transportation</w:t>
      </w:r>
    </w:p>
    <w:p w14:paraId="46D92A2F" w14:textId="77777777" w:rsidR="00CE0983" w:rsidRDefault="00CE0983" w:rsidP="00987F34">
      <w:pPr>
        <w:spacing w:after="0" w:line="240" w:lineRule="auto"/>
        <w:rPr>
          <w:rFonts w:asciiTheme="majorHAnsi" w:eastAsia="Times" w:hAnsiTheme="majorHAnsi" w:cstheme="majorHAnsi"/>
          <w:sz w:val="24"/>
          <w:szCs w:val="24"/>
        </w:rPr>
      </w:pPr>
    </w:p>
    <w:p w14:paraId="1354B997" w14:textId="2AA2E934" w:rsidR="00987F34" w:rsidRDefault="00987F34" w:rsidP="00987F34">
      <w:pPr>
        <w:spacing w:after="0" w:line="240" w:lineRule="auto"/>
        <w:rPr>
          <w:rFonts w:asciiTheme="majorHAnsi" w:eastAsia="Times" w:hAnsiTheme="majorHAnsi" w:cstheme="majorHAnsi"/>
          <w:sz w:val="24"/>
          <w:szCs w:val="24"/>
        </w:rPr>
      </w:pPr>
      <w:r w:rsidRPr="00987F34">
        <w:rPr>
          <w:rFonts w:asciiTheme="majorHAnsi" w:eastAsia="Times" w:hAnsiTheme="majorHAnsi" w:cstheme="majorHAnsi"/>
          <w:sz w:val="24"/>
          <w:szCs w:val="24"/>
        </w:rPr>
        <w:t>A summary of the funding is as follows:</w:t>
      </w:r>
    </w:p>
    <w:p w14:paraId="4EAB32EB" w14:textId="226EE0BE" w:rsidR="00B20E2D" w:rsidRDefault="00B20E2D" w:rsidP="00987F34">
      <w:pPr>
        <w:spacing w:after="0" w:line="240" w:lineRule="auto"/>
        <w:rPr>
          <w:rFonts w:asciiTheme="majorHAnsi" w:eastAsia="Times" w:hAnsiTheme="majorHAnsi" w:cstheme="majorHAnsi"/>
          <w:sz w:val="24"/>
          <w:szCs w:val="24"/>
        </w:rPr>
      </w:pPr>
    </w:p>
    <w:p w14:paraId="19AE8602" w14:textId="77777777" w:rsidR="006B1CA9" w:rsidRPr="006B1CA9" w:rsidRDefault="006B1CA9" w:rsidP="006B1CA9">
      <w:pPr>
        <w:spacing w:after="0" w:line="240" w:lineRule="auto"/>
        <w:rPr>
          <w:rFonts w:asciiTheme="majorHAnsi" w:eastAsia="Times" w:hAnsiTheme="majorHAnsi" w:cstheme="majorHAnsi"/>
          <w:sz w:val="24"/>
          <w:szCs w:val="24"/>
          <w:u w:val="single"/>
          <w:lang w:val="en-US"/>
        </w:rPr>
      </w:pPr>
      <w:r w:rsidRPr="006B1CA9">
        <w:rPr>
          <w:rFonts w:asciiTheme="majorHAnsi" w:eastAsia="Times" w:hAnsiTheme="majorHAnsi" w:cstheme="majorHAnsi"/>
          <w:sz w:val="24"/>
          <w:szCs w:val="24"/>
          <w:u w:val="single"/>
          <w:lang w:val="en-US"/>
        </w:rPr>
        <w:t>Support for Student Learning Needs</w:t>
      </w:r>
    </w:p>
    <w:p w14:paraId="5757CCC6" w14:textId="77777777" w:rsidR="006B1CA9" w:rsidRPr="006B1CA9" w:rsidRDefault="006B1CA9" w:rsidP="006B1CA9">
      <w:pPr>
        <w:spacing w:after="0" w:line="240" w:lineRule="auto"/>
        <w:rPr>
          <w:rFonts w:asciiTheme="majorHAnsi" w:eastAsia="Times" w:hAnsiTheme="majorHAnsi" w:cstheme="majorHAnsi"/>
          <w:i/>
          <w:iCs/>
          <w:sz w:val="24"/>
          <w:szCs w:val="24"/>
          <w:lang w:val="en-US"/>
        </w:rPr>
      </w:pPr>
      <w:r w:rsidRPr="006B1CA9">
        <w:rPr>
          <w:rFonts w:asciiTheme="majorHAnsi" w:eastAsia="Times" w:hAnsiTheme="majorHAnsi" w:cstheme="majorHAnsi"/>
          <w:i/>
          <w:iCs/>
          <w:sz w:val="24"/>
          <w:szCs w:val="24"/>
          <w:lang w:val="en-US"/>
        </w:rPr>
        <w:t>Support for Students Fund (SSF)</w:t>
      </w:r>
    </w:p>
    <w:p w14:paraId="5E579DCC" w14:textId="77777777" w:rsidR="006B1CA9" w:rsidRPr="006B1CA9" w:rsidRDefault="006B1CA9" w:rsidP="006B1CA9">
      <w:pPr>
        <w:spacing w:after="0" w:line="240" w:lineRule="auto"/>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This funding was provided during the last round of bargaining and will be continued in 2022-23 to stabilize supports for students due to learning interruptions and is to be used according to its intended purpose as outline in the respective collective agreements.</w:t>
      </w:r>
    </w:p>
    <w:p w14:paraId="624D7B17" w14:textId="77777777" w:rsidR="006B1CA9" w:rsidRPr="006B1CA9" w:rsidRDefault="006B1CA9" w:rsidP="006B1CA9">
      <w:pPr>
        <w:spacing w:after="0" w:line="240" w:lineRule="auto"/>
        <w:rPr>
          <w:rFonts w:asciiTheme="majorHAnsi" w:eastAsia="Times" w:hAnsiTheme="majorHAnsi" w:cstheme="majorHAnsi"/>
          <w:sz w:val="24"/>
          <w:szCs w:val="24"/>
          <w:lang w:val="en-US"/>
        </w:rPr>
      </w:pPr>
    </w:p>
    <w:p w14:paraId="51781558" w14:textId="77777777" w:rsidR="006B1CA9" w:rsidRPr="006B1CA9" w:rsidRDefault="006B1CA9" w:rsidP="006B1CA9">
      <w:pPr>
        <w:spacing w:after="0" w:line="240" w:lineRule="auto"/>
        <w:rPr>
          <w:rFonts w:asciiTheme="majorHAnsi" w:eastAsia="Times" w:hAnsiTheme="majorHAnsi" w:cstheme="majorHAnsi"/>
          <w:i/>
          <w:iCs/>
          <w:sz w:val="24"/>
          <w:szCs w:val="24"/>
          <w:lang w:val="en-US"/>
        </w:rPr>
      </w:pPr>
      <w:r w:rsidRPr="006B1CA9">
        <w:rPr>
          <w:rFonts w:asciiTheme="majorHAnsi" w:eastAsia="Times" w:hAnsiTheme="majorHAnsi" w:cstheme="majorHAnsi"/>
          <w:i/>
          <w:iCs/>
          <w:sz w:val="24"/>
          <w:szCs w:val="24"/>
          <w:lang w:val="en-US"/>
        </w:rPr>
        <w:t>COVID-19 Learning Recovery Fund</w:t>
      </w:r>
    </w:p>
    <w:p w14:paraId="06D7B1B4" w14:textId="77777777" w:rsidR="006B1CA9" w:rsidRPr="006B1CA9" w:rsidRDefault="006B1CA9" w:rsidP="006B1CA9">
      <w:pPr>
        <w:spacing w:after="0" w:line="240" w:lineRule="auto"/>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Previously funded through a PPF, now funded through the GSN but only as a one-time funding opportunity.  It is to be used to temporarily support the hiring of additional staffing to address the following: learning recovery and the implementation of the first year of fully de-streamed Grade 9; the delivery of remote learning; supports for special education; and maintaining enhanced cleaning standards.</w:t>
      </w:r>
    </w:p>
    <w:p w14:paraId="1BC90CFA" w14:textId="77777777" w:rsidR="006B1CA9" w:rsidRPr="006B1CA9" w:rsidRDefault="006B1CA9" w:rsidP="006B1CA9">
      <w:pPr>
        <w:spacing w:after="0" w:line="240" w:lineRule="auto"/>
        <w:rPr>
          <w:rFonts w:asciiTheme="majorHAnsi" w:eastAsia="Times" w:hAnsiTheme="majorHAnsi" w:cstheme="majorHAnsi"/>
          <w:sz w:val="24"/>
          <w:szCs w:val="24"/>
          <w:lang w:val="en-US"/>
        </w:rPr>
      </w:pPr>
    </w:p>
    <w:p w14:paraId="21DF1C4D" w14:textId="7F2B258F" w:rsidR="006B1CA9" w:rsidRPr="006B1CA9" w:rsidRDefault="006B1CA9" w:rsidP="006B1CA9">
      <w:pPr>
        <w:spacing w:after="0" w:line="240" w:lineRule="auto"/>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 xml:space="preserve">Of note, the board is required to continue to offer the option of remote learning for the 2022-23 school year </w:t>
      </w:r>
      <w:r w:rsidR="00874FC8">
        <w:rPr>
          <w:rFonts w:asciiTheme="majorHAnsi" w:eastAsia="Times" w:hAnsiTheme="majorHAnsi" w:cstheme="majorHAnsi"/>
          <w:sz w:val="24"/>
          <w:szCs w:val="24"/>
          <w:lang w:val="en-US"/>
        </w:rPr>
        <w:t>should the demand exist.</w:t>
      </w:r>
    </w:p>
    <w:p w14:paraId="074D70A5" w14:textId="77777777" w:rsidR="006B1CA9" w:rsidRPr="006B1CA9" w:rsidRDefault="006B1CA9" w:rsidP="006B1CA9">
      <w:pPr>
        <w:spacing w:after="0" w:line="240" w:lineRule="auto"/>
        <w:rPr>
          <w:rFonts w:asciiTheme="majorHAnsi" w:eastAsia="Times" w:hAnsiTheme="majorHAnsi" w:cstheme="majorHAnsi"/>
          <w:i/>
          <w:iCs/>
          <w:sz w:val="24"/>
          <w:szCs w:val="24"/>
          <w:lang w:val="en-US"/>
        </w:rPr>
      </w:pPr>
      <w:r w:rsidRPr="006B1CA9">
        <w:rPr>
          <w:rFonts w:asciiTheme="majorHAnsi" w:eastAsia="Times" w:hAnsiTheme="majorHAnsi" w:cstheme="majorHAnsi"/>
          <w:i/>
          <w:iCs/>
          <w:sz w:val="24"/>
          <w:szCs w:val="24"/>
          <w:lang w:val="en-US"/>
        </w:rPr>
        <w:lastRenderedPageBreak/>
        <w:t>Recent Immigrant Supplement</w:t>
      </w:r>
    </w:p>
    <w:p w14:paraId="40E72609" w14:textId="77777777" w:rsidR="006B1CA9" w:rsidRPr="006B1CA9" w:rsidRDefault="006B1CA9" w:rsidP="006B1CA9">
      <w:pPr>
        <w:spacing w:after="0" w:line="240" w:lineRule="auto"/>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This funding is intended to address the financial implications of the extraordinary or temporary decline in recent immigrant enrolment due to the pandemic.  This funding will supplement the Second Language/English Literacy Development allocation.  We do benefit from this supplement as the higher immigration that the board experienced in 2018 and 2019 is taken into the calculated weighted average.</w:t>
      </w:r>
    </w:p>
    <w:p w14:paraId="7EAAF4AB" w14:textId="77777777" w:rsidR="006B1CA9" w:rsidRPr="006B1CA9" w:rsidRDefault="006B1CA9" w:rsidP="006B1CA9">
      <w:pPr>
        <w:spacing w:after="0" w:line="240" w:lineRule="auto"/>
        <w:rPr>
          <w:rFonts w:asciiTheme="majorHAnsi" w:eastAsia="Times" w:hAnsiTheme="majorHAnsi" w:cstheme="majorHAnsi"/>
          <w:sz w:val="24"/>
          <w:szCs w:val="24"/>
          <w:lang w:val="en-US"/>
        </w:rPr>
      </w:pPr>
    </w:p>
    <w:p w14:paraId="5C99B32C" w14:textId="77777777" w:rsidR="006B1CA9" w:rsidRPr="006B1CA9" w:rsidRDefault="006B1CA9" w:rsidP="006B1CA9">
      <w:pPr>
        <w:spacing w:after="0" w:line="240" w:lineRule="auto"/>
        <w:rPr>
          <w:rFonts w:asciiTheme="majorHAnsi" w:eastAsia="Times" w:hAnsiTheme="majorHAnsi" w:cstheme="majorHAnsi"/>
          <w:sz w:val="24"/>
          <w:szCs w:val="24"/>
          <w:u w:val="single"/>
          <w:lang w:val="en-US"/>
        </w:rPr>
      </w:pPr>
      <w:r w:rsidRPr="006B1CA9">
        <w:rPr>
          <w:rFonts w:asciiTheme="majorHAnsi" w:eastAsia="Times" w:hAnsiTheme="majorHAnsi" w:cstheme="majorHAnsi"/>
          <w:sz w:val="24"/>
          <w:szCs w:val="24"/>
          <w:u w:val="single"/>
          <w:lang w:val="en-US"/>
        </w:rPr>
        <w:t>Priority Investments</w:t>
      </w:r>
    </w:p>
    <w:p w14:paraId="0F7B9380" w14:textId="77777777" w:rsidR="006B1CA9" w:rsidRPr="006B1CA9" w:rsidRDefault="006B1CA9" w:rsidP="006B1CA9">
      <w:pPr>
        <w:spacing w:after="0" w:line="240" w:lineRule="auto"/>
        <w:rPr>
          <w:rFonts w:asciiTheme="majorHAnsi" w:eastAsia="Times" w:hAnsiTheme="majorHAnsi" w:cstheme="majorHAnsi"/>
          <w:i/>
          <w:iCs/>
          <w:sz w:val="24"/>
          <w:szCs w:val="24"/>
          <w:lang w:val="en-US"/>
        </w:rPr>
      </w:pPr>
      <w:r w:rsidRPr="006B1CA9">
        <w:rPr>
          <w:rFonts w:asciiTheme="majorHAnsi" w:eastAsia="Times" w:hAnsiTheme="majorHAnsi" w:cstheme="majorHAnsi"/>
          <w:i/>
          <w:iCs/>
          <w:sz w:val="24"/>
          <w:szCs w:val="24"/>
          <w:lang w:val="en-US"/>
        </w:rPr>
        <w:t>Student Mental Health Investment</w:t>
      </w:r>
    </w:p>
    <w:p w14:paraId="12D65A4A" w14:textId="77777777" w:rsidR="006B1CA9" w:rsidRPr="006B1CA9" w:rsidRDefault="006B1CA9" w:rsidP="006B1CA9">
      <w:pPr>
        <w:spacing w:after="0" w:line="240" w:lineRule="auto"/>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Previously funded through a PPF, now funded through the GSN will continue to support student mental health.  This funding will be enveloped and as such must be utilized for school or school-based mental health staffing, programs, and initiative.</w:t>
      </w:r>
    </w:p>
    <w:p w14:paraId="4452729E" w14:textId="77777777" w:rsidR="006B1CA9" w:rsidRPr="006B1CA9" w:rsidRDefault="006B1CA9" w:rsidP="006B1CA9">
      <w:pPr>
        <w:spacing w:after="0" w:line="240" w:lineRule="auto"/>
        <w:rPr>
          <w:rFonts w:asciiTheme="majorHAnsi" w:eastAsia="Times" w:hAnsiTheme="majorHAnsi" w:cstheme="majorHAnsi"/>
          <w:sz w:val="24"/>
          <w:szCs w:val="24"/>
          <w:lang w:val="en-US"/>
        </w:rPr>
      </w:pPr>
    </w:p>
    <w:p w14:paraId="2A03F7E8" w14:textId="503A4649" w:rsidR="006B1CA9" w:rsidRPr="006B1CA9" w:rsidRDefault="006B1CA9" w:rsidP="006B1CA9">
      <w:pPr>
        <w:spacing w:after="0" w:line="240" w:lineRule="auto"/>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 xml:space="preserve">There will also be a new component of this funding to be used </w:t>
      </w:r>
      <w:r w:rsidR="001D7A96">
        <w:rPr>
          <w:rFonts w:asciiTheme="majorHAnsi" w:eastAsia="Times" w:hAnsiTheme="majorHAnsi" w:cstheme="majorHAnsi"/>
          <w:sz w:val="24"/>
          <w:szCs w:val="24"/>
          <w:lang w:val="en-US"/>
        </w:rPr>
        <w:t>to continue to support and enhance</w:t>
      </w:r>
      <w:r w:rsidRPr="006B1CA9">
        <w:rPr>
          <w:rFonts w:asciiTheme="majorHAnsi" w:eastAsia="Times" w:hAnsiTheme="majorHAnsi" w:cstheme="majorHAnsi"/>
          <w:sz w:val="24"/>
          <w:szCs w:val="24"/>
          <w:lang w:val="en-US"/>
        </w:rPr>
        <w:t xml:space="preserve"> evidence-based mental health programs and resources to support student resilience and mental well-being.</w:t>
      </w:r>
    </w:p>
    <w:p w14:paraId="754A5752" w14:textId="77777777" w:rsidR="006B1CA9" w:rsidRPr="006B1CA9" w:rsidRDefault="006B1CA9" w:rsidP="006B1CA9">
      <w:pPr>
        <w:spacing w:after="0" w:line="240" w:lineRule="auto"/>
        <w:rPr>
          <w:rFonts w:asciiTheme="majorHAnsi" w:eastAsia="Times" w:hAnsiTheme="majorHAnsi" w:cstheme="majorHAnsi"/>
          <w:sz w:val="24"/>
          <w:szCs w:val="24"/>
          <w:lang w:val="en-US"/>
        </w:rPr>
      </w:pPr>
    </w:p>
    <w:p w14:paraId="4004CF0A" w14:textId="77777777" w:rsidR="006B1CA9" w:rsidRPr="006B1CA9" w:rsidRDefault="006B1CA9" w:rsidP="006B1CA9">
      <w:pPr>
        <w:spacing w:after="0" w:line="240" w:lineRule="auto"/>
        <w:rPr>
          <w:rFonts w:asciiTheme="majorHAnsi" w:eastAsia="Times" w:hAnsiTheme="majorHAnsi" w:cstheme="majorHAnsi"/>
          <w:i/>
          <w:iCs/>
          <w:sz w:val="24"/>
          <w:szCs w:val="24"/>
          <w:lang w:val="en-US"/>
        </w:rPr>
      </w:pPr>
      <w:r w:rsidRPr="006B1CA9">
        <w:rPr>
          <w:rFonts w:asciiTheme="majorHAnsi" w:eastAsia="Times" w:hAnsiTheme="majorHAnsi" w:cstheme="majorHAnsi"/>
          <w:i/>
          <w:iCs/>
          <w:sz w:val="24"/>
          <w:szCs w:val="24"/>
          <w:lang w:val="en-US"/>
        </w:rPr>
        <w:t>Local Special Education Priorities</w:t>
      </w:r>
    </w:p>
    <w:p w14:paraId="13877BFE" w14:textId="72B20738" w:rsidR="006B1CA9" w:rsidRPr="006B1CA9" w:rsidRDefault="006B1CA9" w:rsidP="006B1CA9">
      <w:pPr>
        <w:spacing w:after="0" w:line="240" w:lineRule="auto"/>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Previously funded through a PPF, now funded through the GSN will be enveloped within Special Education.  This allocation may be used to address local priorities such as retaining of additional education professional, and para-professional staff and the implementation of evidence-based programs and interventions.</w:t>
      </w:r>
    </w:p>
    <w:p w14:paraId="4FAC6C14" w14:textId="77777777" w:rsidR="006B1CA9" w:rsidRPr="006B1CA9" w:rsidRDefault="006B1CA9" w:rsidP="006B1CA9">
      <w:pPr>
        <w:spacing w:after="0" w:line="240" w:lineRule="auto"/>
        <w:rPr>
          <w:rFonts w:asciiTheme="majorHAnsi" w:eastAsia="Times" w:hAnsiTheme="majorHAnsi" w:cstheme="majorHAnsi"/>
          <w:sz w:val="24"/>
          <w:szCs w:val="24"/>
          <w:lang w:val="en-US"/>
        </w:rPr>
      </w:pPr>
    </w:p>
    <w:p w14:paraId="24BB2CEF" w14:textId="77777777" w:rsidR="006B1CA9" w:rsidRPr="006B1CA9" w:rsidRDefault="006B1CA9" w:rsidP="006B1CA9">
      <w:pPr>
        <w:spacing w:after="0" w:line="240" w:lineRule="auto"/>
        <w:rPr>
          <w:rFonts w:asciiTheme="majorHAnsi" w:eastAsia="Times" w:hAnsiTheme="majorHAnsi" w:cstheme="majorHAnsi"/>
          <w:i/>
          <w:iCs/>
          <w:sz w:val="24"/>
          <w:szCs w:val="24"/>
          <w:lang w:val="en-US"/>
        </w:rPr>
      </w:pPr>
      <w:r w:rsidRPr="006B1CA9">
        <w:rPr>
          <w:rFonts w:asciiTheme="majorHAnsi" w:eastAsia="Times" w:hAnsiTheme="majorHAnsi" w:cstheme="majorHAnsi"/>
          <w:i/>
          <w:iCs/>
          <w:sz w:val="24"/>
          <w:szCs w:val="24"/>
          <w:lang w:val="en-US"/>
        </w:rPr>
        <w:t>Special Incident Portion</w:t>
      </w:r>
    </w:p>
    <w:p w14:paraId="3BB7955B" w14:textId="77777777" w:rsidR="006B1CA9" w:rsidRPr="006B1CA9" w:rsidRDefault="006B1CA9" w:rsidP="006B1CA9">
      <w:pPr>
        <w:spacing w:after="0" w:line="240" w:lineRule="auto"/>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The per pupil amount will be increased by $3.36 for 2022-23.</w:t>
      </w:r>
    </w:p>
    <w:p w14:paraId="0CE9974F" w14:textId="77777777" w:rsidR="006B1CA9" w:rsidRPr="006B1CA9" w:rsidRDefault="006B1CA9" w:rsidP="006B1CA9">
      <w:pPr>
        <w:spacing w:after="0" w:line="240" w:lineRule="auto"/>
        <w:rPr>
          <w:rFonts w:asciiTheme="majorHAnsi" w:eastAsia="Times" w:hAnsiTheme="majorHAnsi" w:cstheme="majorHAnsi"/>
          <w:sz w:val="24"/>
          <w:szCs w:val="24"/>
          <w:lang w:val="en-US"/>
        </w:rPr>
      </w:pPr>
    </w:p>
    <w:p w14:paraId="785E5D9B" w14:textId="77777777" w:rsidR="006B1CA9" w:rsidRPr="006B1CA9" w:rsidRDefault="006B1CA9" w:rsidP="006B1CA9">
      <w:pPr>
        <w:spacing w:after="0" w:line="240" w:lineRule="auto"/>
        <w:rPr>
          <w:rFonts w:asciiTheme="majorHAnsi" w:eastAsia="Times" w:hAnsiTheme="majorHAnsi" w:cstheme="majorHAnsi"/>
          <w:i/>
          <w:iCs/>
          <w:sz w:val="24"/>
          <w:szCs w:val="24"/>
          <w:lang w:val="en-US"/>
        </w:rPr>
      </w:pPr>
      <w:r w:rsidRPr="006B1CA9">
        <w:rPr>
          <w:rFonts w:asciiTheme="majorHAnsi" w:eastAsia="Times" w:hAnsiTheme="majorHAnsi" w:cstheme="majorHAnsi"/>
          <w:i/>
          <w:iCs/>
          <w:sz w:val="24"/>
          <w:szCs w:val="24"/>
          <w:lang w:val="en-US"/>
        </w:rPr>
        <w:t xml:space="preserve">Northern Adjustment </w:t>
      </w:r>
    </w:p>
    <w:p w14:paraId="5739EE15" w14:textId="5D04F466" w:rsidR="006B1CA9" w:rsidRPr="006B1CA9" w:rsidRDefault="006B1CA9" w:rsidP="006B1CA9">
      <w:pPr>
        <w:spacing w:after="0" w:line="240" w:lineRule="auto"/>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 xml:space="preserve">The Northern Supports component will </w:t>
      </w:r>
      <w:r w:rsidR="00272649">
        <w:rPr>
          <w:rFonts w:asciiTheme="majorHAnsi" w:eastAsia="Times" w:hAnsiTheme="majorHAnsi" w:cstheme="majorHAnsi"/>
          <w:sz w:val="24"/>
          <w:szCs w:val="24"/>
          <w:lang w:val="en-US"/>
        </w:rPr>
        <w:t>slightly</w:t>
      </w:r>
      <w:r w:rsidRPr="006B1CA9">
        <w:rPr>
          <w:rFonts w:asciiTheme="majorHAnsi" w:eastAsia="Times" w:hAnsiTheme="majorHAnsi" w:cstheme="majorHAnsi"/>
          <w:sz w:val="24"/>
          <w:szCs w:val="24"/>
          <w:lang w:val="en-US"/>
        </w:rPr>
        <w:t xml:space="preserve"> increas</w:t>
      </w:r>
      <w:r w:rsidR="00272649">
        <w:rPr>
          <w:rFonts w:asciiTheme="majorHAnsi" w:eastAsia="Times" w:hAnsiTheme="majorHAnsi" w:cstheme="majorHAnsi"/>
          <w:sz w:val="24"/>
          <w:szCs w:val="24"/>
          <w:lang w:val="en-US"/>
        </w:rPr>
        <w:t>e</w:t>
      </w:r>
      <w:r w:rsidRPr="006B1CA9">
        <w:rPr>
          <w:rFonts w:asciiTheme="majorHAnsi" w:eastAsia="Times" w:hAnsiTheme="majorHAnsi" w:cstheme="majorHAnsi"/>
          <w:sz w:val="24"/>
          <w:szCs w:val="24"/>
          <w:lang w:val="en-US"/>
        </w:rPr>
        <w:t xml:space="preserve"> </w:t>
      </w:r>
      <w:r w:rsidR="00272649">
        <w:rPr>
          <w:rFonts w:asciiTheme="majorHAnsi" w:eastAsia="Times" w:hAnsiTheme="majorHAnsi" w:cstheme="majorHAnsi"/>
          <w:sz w:val="24"/>
          <w:szCs w:val="24"/>
          <w:lang w:val="en-US"/>
        </w:rPr>
        <w:t>in</w:t>
      </w:r>
      <w:r w:rsidRPr="006B1CA9">
        <w:rPr>
          <w:rFonts w:asciiTheme="majorHAnsi" w:eastAsia="Times" w:hAnsiTheme="majorHAnsi" w:cstheme="majorHAnsi"/>
          <w:sz w:val="24"/>
          <w:szCs w:val="24"/>
          <w:lang w:val="en-US"/>
        </w:rPr>
        <w:t xml:space="preserve"> 2022-2</w:t>
      </w:r>
      <w:r w:rsidR="00125523">
        <w:rPr>
          <w:rFonts w:asciiTheme="majorHAnsi" w:eastAsia="Times" w:hAnsiTheme="majorHAnsi" w:cstheme="majorHAnsi"/>
          <w:sz w:val="24"/>
          <w:szCs w:val="24"/>
          <w:lang w:val="en-US"/>
        </w:rPr>
        <w:t>3</w:t>
      </w:r>
      <w:r w:rsidRPr="006B1CA9">
        <w:rPr>
          <w:rFonts w:asciiTheme="majorHAnsi" w:eastAsia="Times" w:hAnsiTheme="majorHAnsi" w:cstheme="majorHAnsi"/>
          <w:sz w:val="24"/>
          <w:szCs w:val="24"/>
          <w:lang w:val="en-US"/>
        </w:rPr>
        <w:t>.</w:t>
      </w:r>
    </w:p>
    <w:p w14:paraId="646F6F52" w14:textId="77777777" w:rsidR="006B1CA9" w:rsidRPr="006B1CA9" w:rsidRDefault="006B1CA9" w:rsidP="006B1CA9">
      <w:pPr>
        <w:spacing w:after="0" w:line="240" w:lineRule="auto"/>
        <w:rPr>
          <w:rFonts w:asciiTheme="majorHAnsi" w:eastAsia="Times" w:hAnsiTheme="majorHAnsi" w:cstheme="majorHAnsi"/>
          <w:sz w:val="24"/>
          <w:szCs w:val="24"/>
          <w:lang w:val="en-US"/>
        </w:rPr>
      </w:pPr>
    </w:p>
    <w:p w14:paraId="220E98DF" w14:textId="77777777" w:rsidR="006B1CA9" w:rsidRPr="006B1CA9" w:rsidRDefault="006B1CA9" w:rsidP="006B1CA9">
      <w:pPr>
        <w:spacing w:after="0" w:line="240" w:lineRule="auto"/>
        <w:rPr>
          <w:rFonts w:asciiTheme="majorHAnsi" w:eastAsia="Times" w:hAnsiTheme="majorHAnsi" w:cstheme="majorHAnsi"/>
          <w:i/>
          <w:iCs/>
          <w:sz w:val="24"/>
          <w:szCs w:val="24"/>
          <w:lang w:val="en-US"/>
        </w:rPr>
      </w:pPr>
      <w:r w:rsidRPr="006B1CA9">
        <w:rPr>
          <w:rFonts w:asciiTheme="majorHAnsi" w:eastAsia="Times" w:hAnsiTheme="majorHAnsi" w:cstheme="majorHAnsi"/>
          <w:i/>
          <w:iCs/>
          <w:sz w:val="24"/>
          <w:szCs w:val="24"/>
          <w:lang w:val="en-US"/>
        </w:rPr>
        <w:t>Broadband Network Operations</w:t>
      </w:r>
    </w:p>
    <w:p w14:paraId="250B750F" w14:textId="77777777" w:rsidR="006B1CA9" w:rsidRPr="006B1CA9" w:rsidRDefault="006B1CA9" w:rsidP="006B1CA9">
      <w:pPr>
        <w:spacing w:after="0" w:line="240" w:lineRule="auto"/>
        <w:rPr>
          <w:rFonts w:asciiTheme="majorHAnsi" w:eastAsia="Times" w:hAnsiTheme="majorHAnsi" w:cstheme="majorHAnsi"/>
          <w:sz w:val="24"/>
          <w:szCs w:val="24"/>
        </w:rPr>
      </w:pPr>
      <w:r w:rsidRPr="006B1CA9">
        <w:rPr>
          <w:rFonts w:asciiTheme="majorHAnsi" w:eastAsia="Times" w:hAnsiTheme="majorHAnsi" w:cstheme="majorHAnsi"/>
          <w:sz w:val="24"/>
          <w:szCs w:val="24"/>
          <w:lang w:val="en-US"/>
        </w:rPr>
        <w:t>This support funding is to help meet the increasing network demand for digital learning in the classroom and increased network capacity and will be funded through a combination of the Pupil Foundation Grant and the Geographic Circumstances Grant.</w:t>
      </w:r>
    </w:p>
    <w:p w14:paraId="43969651" w14:textId="77777777" w:rsidR="006B1CA9" w:rsidRPr="006B1CA9" w:rsidRDefault="006B1CA9" w:rsidP="006B1CA9">
      <w:pPr>
        <w:spacing w:after="0" w:line="240" w:lineRule="auto"/>
        <w:rPr>
          <w:rFonts w:asciiTheme="majorHAnsi" w:eastAsia="Times" w:hAnsiTheme="majorHAnsi" w:cstheme="majorHAnsi"/>
          <w:sz w:val="24"/>
          <w:szCs w:val="24"/>
          <w:lang w:val="en-US"/>
        </w:rPr>
      </w:pPr>
    </w:p>
    <w:p w14:paraId="0311816A" w14:textId="77777777" w:rsidR="006B1CA9" w:rsidRPr="006B1CA9" w:rsidRDefault="006B1CA9" w:rsidP="006B1CA9">
      <w:pPr>
        <w:spacing w:after="0" w:line="240" w:lineRule="auto"/>
        <w:rPr>
          <w:rFonts w:asciiTheme="majorHAnsi" w:eastAsia="Times" w:hAnsiTheme="majorHAnsi" w:cstheme="majorHAnsi"/>
          <w:sz w:val="24"/>
          <w:szCs w:val="24"/>
          <w:u w:val="single"/>
          <w:lang w:val="en-US"/>
        </w:rPr>
      </w:pPr>
      <w:proofErr w:type="spellStart"/>
      <w:r w:rsidRPr="006B1CA9">
        <w:rPr>
          <w:rFonts w:asciiTheme="majorHAnsi" w:eastAsia="Times" w:hAnsiTheme="majorHAnsi" w:cstheme="majorHAnsi"/>
          <w:sz w:val="24"/>
          <w:szCs w:val="24"/>
          <w:u w:val="single"/>
          <w:lang w:val="en-US"/>
        </w:rPr>
        <w:t>Labour</w:t>
      </w:r>
      <w:proofErr w:type="spellEnd"/>
    </w:p>
    <w:p w14:paraId="519E66C5" w14:textId="77777777" w:rsidR="006B1CA9" w:rsidRPr="006B1CA9" w:rsidRDefault="006B1CA9" w:rsidP="006B1CA9">
      <w:pPr>
        <w:spacing w:after="0" w:line="240" w:lineRule="auto"/>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Terms and conditions for the Principal/Vice-Principal group have been updated to reflect a 1% increase in salary benchmarks.  Benefit Trust Allocations have to be updated to reflect increases.  There are also increases in the school support staff benchmarks.</w:t>
      </w:r>
    </w:p>
    <w:p w14:paraId="44D9744D" w14:textId="77777777" w:rsidR="006B1CA9" w:rsidRPr="006B1CA9" w:rsidRDefault="006B1CA9" w:rsidP="006B1CA9">
      <w:pPr>
        <w:spacing w:after="0" w:line="240" w:lineRule="auto"/>
        <w:rPr>
          <w:rFonts w:asciiTheme="majorHAnsi" w:eastAsia="Times" w:hAnsiTheme="majorHAnsi" w:cstheme="majorHAnsi"/>
          <w:sz w:val="24"/>
          <w:szCs w:val="24"/>
          <w:lang w:val="en-US"/>
        </w:rPr>
      </w:pPr>
    </w:p>
    <w:p w14:paraId="654F8B8E" w14:textId="08D5EAD8" w:rsidR="006B1CA9" w:rsidRPr="006B1CA9" w:rsidRDefault="006B1CA9" w:rsidP="006B1CA9">
      <w:pPr>
        <w:spacing w:after="0" w:line="240" w:lineRule="auto"/>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Starting in 2022-23, the central employer bargaining agency fees allocation for boards will be adjusted based on changes to the GSN benchmarks and their respective trustee’ association’s total 202</w:t>
      </w:r>
      <w:r w:rsidR="00EA17EC">
        <w:rPr>
          <w:rFonts w:asciiTheme="majorHAnsi" w:eastAsia="Times" w:hAnsiTheme="majorHAnsi" w:cstheme="majorHAnsi"/>
          <w:sz w:val="24"/>
          <w:szCs w:val="24"/>
          <w:lang w:val="en-US"/>
        </w:rPr>
        <w:t>2</w:t>
      </w:r>
      <w:r w:rsidRPr="006B1CA9">
        <w:rPr>
          <w:rFonts w:asciiTheme="majorHAnsi" w:eastAsia="Times" w:hAnsiTheme="majorHAnsi" w:cstheme="majorHAnsi"/>
          <w:sz w:val="24"/>
          <w:szCs w:val="24"/>
          <w:lang w:val="en-US"/>
        </w:rPr>
        <w:t>-2</w:t>
      </w:r>
      <w:r w:rsidR="00EA17EC">
        <w:rPr>
          <w:rFonts w:asciiTheme="majorHAnsi" w:eastAsia="Times" w:hAnsiTheme="majorHAnsi" w:cstheme="majorHAnsi"/>
          <w:sz w:val="24"/>
          <w:szCs w:val="24"/>
          <w:lang w:val="en-US"/>
        </w:rPr>
        <w:t>3</w:t>
      </w:r>
      <w:r w:rsidRPr="006B1CA9">
        <w:rPr>
          <w:rFonts w:asciiTheme="majorHAnsi" w:eastAsia="Times" w:hAnsiTheme="majorHAnsi" w:cstheme="majorHAnsi"/>
          <w:sz w:val="24"/>
          <w:szCs w:val="24"/>
          <w:lang w:val="en-US"/>
        </w:rPr>
        <w:t xml:space="preserve"> annual expenses.</w:t>
      </w:r>
    </w:p>
    <w:p w14:paraId="37A9C1C5" w14:textId="119F2422" w:rsidR="006B1CA9" w:rsidRDefault="006B1CA9" w:rsidP="006B1CA9">
      <w:pPr>
        <w:spacing w:after="0" w:line="240" w:lineRule="auto"/>
        <w:rPr>
          <w:rFonts w:asciiTheme="majorHAnsi" w:eastAsia="Times" w:hAnsiTheme="majorHAnsi" w:cstheme="majorHAnsi"/>
          <w:sz w:val="24"/>
          <w:szCs w:val="24"/>
          <w:lang w:val="en-US"/>
        </w:rPr>
      </w:pPr>
    </w:p>
    <w:p w14:paraId="2139E0A7" w14:textId="77777777" w:rsidR="00EA17EC" w:rsidRPr="006B1CA9" w:rsidRDefault="00EA17EC" w:rsidP="006B1CA9">
      <w:pPr>
        <w:spacing w:after="0" w:line="240" w:lineRule="auto"/>
        <w:rPr>
          <w:rFonts w:asciiTheme="majorHAnsi" w:eastAsia="Times" w:hAnsiTheme="majorHAnsi" w:cstheme="majorHAnsi"/>
          <w:sz w:val="24"/>
          <w:szCs w:val="24"/>
          <w:lang w:val="en-US"/>
        </w:rPr>
      </w:pPr>
    </w:p>
    <w:p w14:paraId="067B6DB9" w14:textId="77777777" w:rsidR="006B1CA9" w:rsidRPr="006B1CA9" w:rsidRDefault="006B1CA9" w:rsidP="006B1CA9">
      <w:pPr>
        <w:spacing w:after="0" w:line="240" w:lineRule="auto"/>
        <w:rPr>
          <w:rFonts w:asciiTheme="majorHAnsi" w:eastAsia="Times" w:hAnsiTheme="majorHAnsi" w:cstheme="majorHAnsi"/>
          <w:sz w:val="24"/>
          <w:szCs w:val="24"/>
          <w:u w:val="single"/>
          <w:lang w:val="en-US"/>
        </w:rPr>
      </w:pPr>
      <w:r w:rsidRPr="006B1CA9">
        <w:rPr>
          <w:rFonts w:asciiTheme="majorHAnsi" w:eastAsia="Times" w:hAnsiTheme="majorHAnsi" w:cstheme="majorHAnsi"/>
          <w:sz w:val="24"/>
          <w:szCs w:val="24"/>
          <w:u w:val="single"/>
          <w:lang w:val="en-US"/>
        </w:rPr>
        <w:t>Keeping up with Costs</w:t>
      </w:r>
    </w:p>
    <w:p w14:paraId="482D0CCD" w14:textId="77777777" w:rsidR="006B1CA9" w:rsidRPr="006B1CA9" w:rsidRDefault="006B1CA9" w:rsidP="006B1CA9">
      <w:pPr>
        <w:spacing w:after="0" w:line="240" w:lineRule="auto"/>
        <w:rPr>
          <w:rFonts w:asciiTheme="majorHAnsi" w:eastAsia="Times" w:hAnsiTheme="majorHAnsi" w:cstheme="majorHAnsi"/>
          <w:i/>
          <w:iCs/>
          <w:sz w:val="24"/>
          <w:szCs w:val="24"/>
          <w:lang w:val="en-US"/>
        </w:rPr>
      </w:pPr>
      <w:r w:rsidRPr="006B1CA9">
        <w:rPr>
          <w:rFonts w:asciiTheme="majorHAnsi" w:eastAsia="Times" w:hAnsiTheme="majorHAnsi" w:cstheme="majorHAnsi"/>
          <w:i/>
          <w:iCs/>
          <w:sz w:val="24"/>
          <w:szCs w:val="24"/>
          <w:lang w:val="en-US"/>
        </w:rPr>
        <w:t>Non-Staff Benchmarks</w:t>
      </w:r>
    </w:p>
    <w:p w14:paraId="0350EFF7" w14:textId="77777777" w:rsidR="006B1CA9" w:rsidRPr="006B1CA9" w:rsidRDefault="006B1CA9" w:rsidP="006B1CA9">
      <w:pPr>
        <w:spacing w:after="0" w:line="240" w:lineRule="auto"/>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The school operations allocation benchmark are being increased by 2.3% to assist with the management of increases in commodity prices and an additional 3.15% to support the increased costs related to the need to run ventilation systems longer and replace filters more frequently.</w:t>
      </w:r>
    </w:p>
    <w:p w14:paraId="531281E3" w14:textId="77777777" w:rsidR="006B1CA9" w:rsidRPr="006B1CA9" w:rsidRDefault="006B1CA9" w:rsidP="006B1CA9">
      <w:pPr>
        <w:spacing w:after="0" w:line="240" w:lineRule="auto"/>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There will also be a 2.3% cost update for other non-staff benchmarks and non-staff funding amounts throughout the GSN.</w:t>
      </w:r>
    </w:p>
    <w:p w14:paraId="080DD349" w14:textId="77777777" w:rsidR="006B1CA9" w:rsidRPr="006B1CA9" w:rsidRDefault="006B1CA9" w:rsidP="006B1CA9">
      <w:pPr>
        <w:spacing w:after="0" w:line="240" w:lineRule="auto"/>
        <w:rPr>
          <w:rFonts w:asciiTheme="majorHAnsi" w:eastAsia="Times" w:hAnsiTheme="majorHAnsi" w:cstheme="majorHAnsi"/>
          <w:sz w:val="24"/>
          <w:szCs w:val="24"/>
          <w:lang w:val="en-US"/>
        </w:rPr>
      </w:pPr>
    </w:p>
    <w:p w14:paraId="156F5EA1" w14:textId="77777777" w:rsidR="006B1CA9" w:rsidRPr="006B1CA9" w:rsidRDefault="006B1CA9" w:rsidP="006B1CA9">
      <w:pPr>
        <w:spacing w:after="0" w:line="240" w:lineRule="auto"/>
        <w:rPr>
          <w:rFonts w:asciiTheme="majorHAnsi" w:eastAsia="Times" w:hAnsiTheme="majorHAnsi" w:cstheme="majorHAnsi"/>
          <w:i/>
          <w:iCs/>
          <w:sz w:val="24"/>
          <w:szCs w:val="24"/>
          <w:lang w:val="en-US"/>
        </w:rPr>
      </w:pPr>
      <w:r w:rsidRPr="006B1CA9">
        <w:rPr>
          <w:rFonts w:asciiTheme="majorHAnsi" w:eastAsia="Times" w:hAnsiTheme="majorHAnsi" w:cstheme="majorHAnsi"/>
          <w:i/>
          <w:iCs/>
          <w:sz w:val="24"/>
          <w:szCs w:val="24"/>
          <w:lang w:val="en-US"/>
        </w:rPr>
        <w:t>Student Transportation</w:t>
      </w:r>
    </w:p>
    <w:p w14:paraId="6C8E086C" w14:textId="77777777" w:rsidR="006B1CA9" w:rsidRPr="006B1CA9" w:rsidRDefault="006B1CA9" w:rsidP="006B1CA9">
      <w:pPr>
        <w:spacing w:after="0" w:line="240" w:lineRule="auto"/>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This grant will be maintained at the previous year’s funding level with adjustments for enrolment growth.  The cost update of 2% is not being allocated board by board at this time.  Funding adjustments due to fuel price changes will continue to be triggered by the fuel escalation and de-escalation mechanism throughout the school year.</w:t>
      </w:r>
    </w:p>
    <w:p w14:paraId="5837FFC7" w14:textId="77777777" w:rsidR="006B1CA9" w:rsidRPr="006B1CA9" w:rsidRDefault="006B1CA9" w:rsidP="006B1CA9">
      <w:pPr>
        <w:spacing w:after="0" w:line="240" w:lineRule="auto"/>
        <w:rPr>
          <w:rFonts w:asciiTheme="majorHAnsi" w:eastAsia="Times" w:hAnsiTheme="majorHAnsi" w:cstheme="majorHAnsi"/>
          <w:sz w:val="24"/>
          <w:szCs w:val="24"/>
          <w:u w:val="single"/>
          <w:lang w:val="en-US"/>
        </w:rPr>
      </w:pPr>
    </w:p>
    <w:p w14:paraId="775C6C6D" w14:textId="77777777" w:rsidR="006B1CA9" w:rsidRPr="006B1CA9" w:rsidRDefault="006B1CA9" w:rsidP="006B1CA9">
      <w:pPr>
        <w:spacing w:after="0" w:line="240" w:lineRule="auto"/>
        <w:rPr>
          <w:rFonts w:asciiTheme="majorHAnsi" w:eastAsia="Times" w:hAnsiTheme="majorHAnsi" w:cstheme="majorHAnsi"/>
          <w:sz w:val="24"/>
          <w:szCs w:val="24"/>
          <w:u w:val="single"/>
          <w:lang w:val="en-US"/>
        </w:rPr>
      </w:pPr>
      <w:r w:rsidRPr="006B1CA9">
        <w:rPr>
          <w:rFonts w:asciiTheme="majorHAnsi" w:eastAsia="Times" w:hAnsiTheme="majorHAnsi" w:cstheme="majorHAnsi"/>
          <w:sz w:val="24"/>
          <w:szCs w:val="24"/>
          <w:u w:val="single"/>
          <w:lang w:val="en-US"/>
        </w:rPr>
        <w:t>Priorities and Partnership transferred to the GSN</w:t>
      </w:r>
    </w:p>
    <w:p w14:paraId="2FB88A75" w14:textId="77777777" w:rsidR="006B1CA9" w:rsidRPr="006B1CA9" w:rsidRDefault="006B1CA9" w:rsidP="006B1CA9">
      <w:pPr>
        <w:spacing w:after="0" w:line="240" w:lineRule="auto"/>
        <w:rPr>
          <w:rFonts w:asciiTheme="majorHAnsi" w:eastAsia="Times" w:hAnsiTheme="majorHAnsi" w:cstheme="majorHAnsi"/>
          <w:i/>
          <w:iCs/>
          <w:sz w:val="24"/>
          <w:szCs w:val="24"/>
          <w:lang w:val="en-US"/>
        </w:rPr>
      </w:pPr>
      <w:r w:rsidRPr="006B1CA9">
        <w:rPr>
          <w:rFonts w:asciiTheme="majorHAnsi" w:eastAsia="Times" w:hAnsiTheme="majorHAnsi" w:cstheme="majorHAnsi"/>
          <w:i/>
          <w:iCs/>
          <w:sz w:val="24"/>
          <w:szCs w:val="24"/>
          <w:lang w:val="en-US"/>
        </w:rPr>
        <w:t xml:space="preserve">Parent Reaching Out Grant </w:t>
      </w:r>
    </w:p>
    <w:p w14:paraId="55A483E4" w14:textId="77777777" w:rsidR="006B1CA9" w:rsidRPr="006B1CA9" w:rsidRDefault="006B1CA9" w:rsidP="006B1CA9">
      <w:pPr>
        <w:spacing w:after="0" w:line="240" w:lineRule="auto"/>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Supports boards to work with their Parent Involvement Committees.  This is moving to the School Foundation Grant.</w:t>
      </w:r>
    </w:p>
    <w:p w14:paraId="2364B66B" w14:textId="77777777" w:rsidR="006B1CA9" w:rsidRPr="006B1CA9" w:rsidRDefault="006B1CA9" w:rsidP="006B1CA9">
      <w:pPr>
        <w:spacing w:after="0" w:line="240" w:lineRule="auto"/>
        <w:rPr>
          <w:rFonts w:asciiTheme="majorHAnsi" w:eastAsia="Times" w:hAnsiTheme="majorHAnsi" w:cstheme="majorHAnsi"/>
          <w:sz w:val="24"/>
          <w:szCs w:val="24"/>
          <w:lang w:val="en-US"/>
        </w:rPr>
      </w:pPr>
    </w:p>
    <w:p w14:paraId="69B6F29F" w14:textId="77777777" w:rsidR="006B1CA9" w:rsidRPr="006B1CA9" w:rsidRDefault="006B1CA9" w:rsidP="006B1CA9">
      <w:pPr>
        <w:spacing w:after="0" w:line="240" w:lineRule="auto"/>
        <w:rPr>
          <w:rFonts w:asciiTheme="majorHAnsi" w:eastAsia="Times" w:hAnsiTheme="majorHAnsi" w:cstheme="majorHAnsi"/>
          <w:i/>
          <w:iCs/>
          <w:sz w:val="24"/>
          <w:szCs w:val="24"/>
          <w:lang w:val="en-US"/>
        </w:rPr>
      </w:pPr>
      <w:r w:rsidRPr="006B1CA9">
        <w:rPr>
          <w:rFonts w:asciiTheme="majorHAnsi" w:eastAsia="Times" w:hAnsiTheme="majorHAnsi" w:cstheme="majorHAnsi"/>
          <w:i/>
          <w:iCs/>
          <w:sz w:val="24"/>
          <w:szCs w:val="24"/>
          <w:lang w:val="en-US"/>
        </w:rPr>
        <w:t>Canada-Ontario Agreement for French as a Second Language</w:t>
      </w:r>
    </w:p>
    <w:p w14:paraId="2A86B01B" w14:textId="77777777" w:rsidR="006B1CA9" w:rsidRPr="006B1CA9" w:rsidRDefault="006B1CA9" w:rsidP="006B1CA9">
      <w:pPr>
        <w:spacing w:after="0" w:line="240" w:lineRule="auto"/>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Funding to support additional costs of French as a second language initiatives and activities undertaken by English-language boards.  This will now be enveloped within the Language Grant.</w:t>
      </w:r>
    </w:p>
    <w:p w14:paraId="0C1EB655" w14:textId="77777777" w:rsidR="006B1CA9" w:rsidRPr="006B1CA9" w:rsidRDefault="006B1CA9" w:rsidP="006B1CA9">
      <w:pPr>
        <w:spacing w:after="0" w:line="240" w:lineRule="auto"/>
        <w:rPr>
          <w:rFonts w:asciiTheme="majorHAnsi" w:eastAsia="Times" w:hAnsiTheme="majorHAnsi" w:cstheme="majorHAnsi"/>
          <w:sz w:val="24"/>
          <w:szCs w:val="24"/>
          <w:lang w:val="en-US"/>
        </w:rPr>
      </w:pPr>
    </w:p>
    <w:p w14:paraId="1145890A" w14:textId="77777777" w:rsidR="006B1CA9" w:rsidRPr="006B1CA9" w:rsidRDefault="006B1CA9" w:rsidP="006B1CA9">
      <w:pPr>
        <w:spacing w:after="0" w:line="240" w:lineRule="auto"/>
        <w:rPr>
          <w:rFonts w:asciiTheme="majorHAnsi" w:eastAsia="Times" w:hAnsiTheme="majorHAnsi" w:cstheme="majorHAnsi"/>
          <w:i/>
          <w:iCs/>
          <w:sz w:val="24"/>
          <w:szCs w:val="24"/>
          <w:lang w:val="en-US"/>
        </w:rPr>
      </w:pPr>
      <w:r w:rsidRPr="006B1CA9">
        <w:rPr>
          <w:rFonts w:asciiTheme="majorHAnsi" w:eastAsia="Times" w:hAnsiTheme="majorHAnsi" w:cstheme="majorHAnsi"/>
          <w:i/>
          <w:iCs/>
          <w:sz w:val="24"/>
          <w:szCs w:val="24"/>
          <w:lang w:val="en-US"/>
        </w:rPr>
        <w:t>Well-Being and Mental Health Bundle</w:t>
      </w:r>
    </w:p>
    <w:p w14:paraId="33A6F3EA" w14:textId="77777777" w:rsidR="006B1CA9" w:rsidRPr="006B1CA9" w:rsidRDefault="006B1CA9" w:rsidP="006B1CA9">
      <w:pPr>
        <w:spacing w:after="0" w:line="240" w:lineRule="auto"/>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Funding to support the board in meeting local needs and priorities that promote and support well-being and inclusive education including strengthening positive school climates.  This amount will be bundled within the Mental Health and Well-Being Grant.</w:t>
      </w:r>
    </w:p>
    <w:p w14:paraId="26E82316" w14:textId="77777777" w:rsidR="006B1CA9" w:rsidRPr="006B1CA9" w:rsidRDefault="006B1CA9" w:rsidP="006B1CA9">
      <w:pPr>
        <w:spacing w:after="0" w:line="240" w:lineRule="auto"/>
        <w:rPr>
          <w:rFonts w:asciiTheme="majorHAnsi" w:eastAsia="Times" w:hAnsiTheme="majorHAnsi" w:cstheme="majorHAnsi"/>
          <w:sz w:val="24"/>
          <w:szCs w:val="24"/>
          <w:lang w:val="en-US"/>
        </w:rPr>
      </w:pPr>
    </w:p>
    <w:p w14:paraId="3296DCFB" w14:textId="77777777" w:rsidR="006B1CA9" w:rsidRPr="006B1CA9" w:rsidRDefault="006B1CA9" w:rsidP="006B1CA9">
      <w:pPr>
        <w:spacing w:after="0" w:line="240" w:lineRule="auto"/>
        <w:rPr>
          <w:rFonts w:asciiTheme="majorHAnsi" w:eastAsia="Times" w:hAnsiTheme="majorHAnsi" w:cstheme="majorHAnsi"/>
          <w:i/>
          <w:iCs/>
          <w:sz w:val="24"/>
          <w:szCs w:val="24"/>
          <w:lang w:val="en-US"/>
        </w:rPr>
      </w:pPr>
      <w:r w:rsidRPr="006B1CA9">
        <w:rPr>
          <w:rFonts w:asciiTheme="majorHAnsi" w:eastAsia="Times" w:hAnsiTheme="majorHAnsi" w:cstheme="majorHAnsi"/>
          <w:i/>
          <w:iCs/>
          <w:sz w:val="24"/>
          <w:szCs w:val="24"/>
          <w:lang w:val="en-US"/>
        </w:rPr>
        <w:t>Learning and Innovation Fund for Teachers</w:t>
      </w:r>
    </w:p>
    <w:p w14:paraId="60A868CA" w14:textId="77777777" w:rsidR="006B1CA9" w:rsidRPr="006B1CA9" w:rsidRDefault="006B1CA9" w:rsidP="006B1CA9">
      <w:pPr>
        <w:spacing w:after="0" w:line="240" w:lineRule="auto"/>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This funding supports teacher collaboration, responsive learning and sharing of effective practices within schools, the board and the province.  This is moving to within the Cost Adjustment and Teacher Qualifications and Experience Grant.</w:t>
      </w:r>
    </w:p>
    <w:p w14:paraId="37C904E5" w14:textId="497AC91D" w:rsidR="006B1CA9" w:rsidRDefault="006B1CA9" w:rsidP="006B1CA9">
      <w:pPr>
        <w:spacing w:after="0" w:line="240" w:lineRule="auto"/>
        <w:rPr>
          <w:rFonts w:asciiTheme="majorHAnsi" w:eastAsia="Times" w:hAnsiTheme="majorHAnsi" w:cstheme="majorHAnsi"/>
          <w:sz w:val="24"/>
          <w:szCs w:val="24"/>
          <w:lang w:val="en-US"/>
        </w:rPr>
      </w:pPr>
    </w:p>
    <w:p w14:paraId="06822EC3" w14:textId="19444598" w:rsidR="00DA024F" w:rsidRDefault="00DA024F" w:rsidP="006B1CA9">
      <w:pPr>
        <w:spacing w:after="0" w:line="240" w:lineRule="auto"/>
        <w:rPr>
          <w:rFonts w:asciiTheme="majorHAnsi" w:eastAsia="Times" w:hAnsiTheme="majorHAnsi" w:cstheme="majorHAnsi"/>
          <w:sz w:val="24"/>
          <w:szCs w:val="24"/>
          <w:lang w:val="en-US"/>
        </w:rPr>
      </w:pPr>
    </w:p>
    <w:p w14:paraId="6B2E92E3" w14:textId="74C5F0EB" w:rsidR="00DA024F" w:rsidRDefault="00DA024F" w:rsidP="006B1CA9">
      <w:pPr>
        <w:spacing w:after="0" w:line="240" w:lineRule="auto"/>
        <w:rPr>
          <w:rFonts w:asciiTheme="majorHAnsi" w:eastAsia="Times" w:hAnsiTheme="majorHAnsi" w:cstheme="majorHAnsi"/>
          <w:sz w:val="24"/>
          <w:szCs w:val="24"/>
          <w:lang w:val="en-US"/>
        </w:rPr>
      </w:pPr>
    </w:p>
    <w:p w14:paraId="68B85B48" w14:textId="0392D95D" w:rsidR="00DA024F" w:rsidRDefault="00DA024F" w:rsidP="006B1CA9">
      <w:pPr>
        <w:spacing w:after="0" w:line="240" w:lineRule="auto"/>
        <w:rPr>
          <w:rFonts w:asciiTheme="majorHAnsi" w:eastAsia="Times" w:hAnsiTheme="majorHAnsi" w:cstheme="majorHAnsi"/>
          <w:sz w:val="24"/>
          <w:szCs w:val="24"/>
          <w:lang w:val="en-US"/>
        </w:rPr>
      </w:pPr>
    </w:p>
    <w:p w14:paraId="33A97018" w14:textId="39EA0EF4" w:rsidR="00DA024F" w:rsidRDefault="00DA024F" w:rsidP="006B1CA9">
      <w:pPr>
        <w:spacing w:after="0" w:line="240" w:lineRule="auto"/>
        <w:rPr>
          <w:rFonts w:asciiTheme="majorHAnsi" w:eastAsia="Times" w:hAnsiTheme="majorHAnsi" w:cstheme="majorHAnsi"/>
          <w:sz w:val="24"/>
          <w:szCs w:val="24"/>
          <w:lang w:val="en-US"/>
        </w:rPr>
      </w:pPr>
    </w:p>
    <w:p w14:paraId="634C740A" w14:textId="070C95D4" w:rsidR="00D541B3" w:rsidRDefault="00D541B3" w:rsidP="006B1CA9">
      <w:pPr>
        <w:spacing w:after="0" w:line="240" w:lineRule="auto"/>
        <w:rPr>
          <w:rFonts w:asciiTheme="majorHAnsi" w:eastAsia="Times" w:hAnsiTheme="majorHAnsi" w:cstheme="majorHAnsi"/>
          <w:sz w:val="24"/>
          <w:szCs w:val="24"/>
          <w:lang w:val="en-US"/>
        </w:rPr>
      </w:pPr>
    </w:p>
    <w:p w14:paraId="08DC929A" w14:textId="10F0D459" w:rsidR="00D541B3" w:rsidRDefault="00D541B3" w:rsidP="006B1CA9">
      <w:pPr>
        <w:spacing w:after="0" w:line="240" w:lineRule="auto"/>
        <w:rPr>
          <w:rFonts w:asciiTheme="majorHAnsi" w:eastAsia="Times" w:hAnsiTheme="majorHAnsi" w:cstheme="majorHAnsi"/>
          <w:sz w:val="24"/>
          <w:szCs w:val="24"/>
          <w:lang w:val="en-US"/>
        </w:rPr>
      </w:pPr>
    </w:p>
    <w:p w14:paraId="020F08DE" w14:textId="15D3D869" w:rsidR="00D541B3" w:rsidRDefault="00D541B3" w:rsidP="006B1CA9">
      <w:pPr>
        <w:spacing w:after="0" w:line="240" w:lineRule="auto"/>
        <w:rPr>
          <w:rFonts w:asciiTheme="majorHAnsi" w:eastAsia="Times" w:hAnsiTheme="majorHAnsi" w:cstheme="majorHAnsi"/>
          <w:sz w:val="24"/>
          <w:szCs w:val="24"/>
          <w:lang w:val="en-US"/>
        </w:rPr>
      </w:pPr>
    </w:p>
    <w:p w14:paraId="7B21EA9E" w14:textId="77777777" w:rsidR="00D541B3" w:rsidRDefault="00D541B3" w:rsidP="006B1CA9">
      <w:pPr>
        <w:spacing w:after="0" w:line="240" w:lineRule="auto"/>
        <w:rPr>
          <w:rFonts w:asciiTheme="majorHAnsi" w:eastAsia="Times" w:hAnsiTheme="majorHAnsi" w:cstheme="majorHAnsi"/>
          <w:sz w:val="24"/>
          <w:szCs w:val="24"/>
          <w:lang w:val="en-US"/>
        </w:rPr>
      </w:pPr>
    </w:p>
    <w:p w14:paraId="18AF5A66" w14:textId="1A2BC6CF" w:rsidR="00DA024F" w:rsidRDefault="00DA024F" w:rsidP="006B1CA9">
      <w:pPr>
        <w:spacing w:after="0" w:line="240" w:lineRule="auto"/>
        <w:rPr>
          <w:rFonts w:asciiTheme="majorHAnsi" w:eastAsia="Times" w:hAnsiTheme="majorHAnsi" w:cstheme="majorHAnsi"/>
          <w:sz w:val="24"/>
          <w:szCs w:val="24"/>
          <w:lang w:val="en-US"/>
        </w:rPr>
      </w:pPr>
    </w:p>
    <w:p w14:paraId="35CD942B" w14:textId="77777777" w:rsidR="006B1CA9" w:rsidRPr="006B1CA9" w:rsidRDefault="006B1CA9" w:rsidP="006B1CA9">
      <w:pPr>
        <w:spacing w:after="0" w:line="240" w:lineRule="auto"/>
        <w:rPr>
          <w:rFonts w:asciiTheme="majorHAnsi" w:eastAsia="Times" w:hAnsiTheme="majorHAnsi" w:cstheme="majorHAnsi"/>
          <w:sz w:val="24"/>
          <w:szCs w:val="24"/>
          <w:u w:val="single"/>
          <w:lang w:val="en-US"/>
        </w:rPr>
      </w:pPr>
      <w:r w:rsidRPr="006B1CA9">
        <w:rPr>
          <w:rFonts w:asciiTheme="majorHAnsi" w:eastAsia="Times" w:hAnsiTheme="majorHAnsi" w:cstheme="majorHAnsi"/>
          <w:sz w:val="24"/>
          <w:szCs w:val="24"/>
          <w:u w:val="single"/>
          <w:lang w:val="en-US"/>
        </w:rPr>
        <w:lastRenderedPageBreak/>
        <w:t>Priorities and Partnerships Funding</w:t>
      </w:r>
    </w:p>
    <w:p w14:paraId="2AB9FA55" w14:textId="77777777" w:rsidR="006B1CA9" w:rsidRPr="006B1CA9" w:rsidRDefault="006B1CA9" w:rsidP="006B1CA9">
      <w:pPr>
        <w:spacing w:after="0" w:line="240" w:lineRule="auto"/>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Approved at this time are the following:</w:t>
      </w:r>
    </w:p>
    <w:tbl>
      <w:tblPr>
        <w:tblStyle w:val="TableGrid"/>
        <w:tblW w:w="0" w:type="auto"/>
        <w:tblLook w:val="04A0" w:firstRow="1" w:lastRow="0" w:firstColumn="1" w:lastColumn="0" w:noHBand="0" w:noVBand="1"/>
      </w:tblPr>
      <w:tblGrid>
        <w:gridCol w:w="7083"/>
        <w:gridCol w:w="2267"/>
      </w:tblGrid>
      <w:tr w:rsidR="006B1CA9" w:rsidRPr="006B1CA9" w14:paraId="2C155FBA" w14:textId="77777777" w:rsidTr="00A30CF3">
        <w:tc>
          <w:tcPr>
            <w:tcW w:w="7083" w:type="dxa"/>
          </w:tcPr>
          <w:p w14:paraId="3BC55802" w14:textId="77777777" w:rsidR="006B1CA9" w:rsidRPr="006B1CA9" w:rsidRDefault="006B1CA9" w:rsidP="006B1CA9">
            <w:pPr>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Name</w:t>
            </w:r>
          </w:p>
        </w:tc>
        <w:tc>
          <w:tcPr>
            <w:tcW w:w="2267" w:type="dxa"/>
          </w:tcPr>
          <w:p w14:paraId="1CCE295C" w14:textId="77777777" w:rsidR="006B1CA9" w:rsidRPr="006B1CA9" w:rsidRDefault="006B1CA9" w:rsidP="006B1CA9">
            <w:pPr>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Amount ($)</w:t>
            </w:r>
          </w:p>
        </w:tc>
      </w:tr>
      <w:tr w:rsidR="006B1CA9" w:rsidRPr="006B1CA9" w14:paraId="0000BF37" w14:textId="77777777" w:rsidTr="00A30CF3">
        <w:tc>
          <w:tcPr>
            <w:tcW w:w="7083" w:type="dxa"/>
          </w:tcPr>
          <w:p w14:paraId="4B0629FA" w14:textId="77777777" w:rsidR="006B1CA9" w:rsidRPr="006B1CA9" w:rsidRDefault="006B1CA9" w:rsidP="006B1CA9">
            <w:pPr>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De-streaming Implementation Supports</w:t>
            </w:r>
          </w:p>
        </w:tc>
        <w:tc>
          <w:tcPr>
            <w:tcW w:w="2267" w:type="dxa"/>
          </w:tcPr>
          <w:p w14:paraId="468539A1" w14:textId="77777777" w:rsidR="006B1CA9" w:rsidRPr="006B1CA9" w:rsidRDefault="006B1CA9" w:rsidP="00D95621">
            <w:pPr>
              <w:jc w:val="right"/>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$25,100</w:t>
            </w:r>
          </w:p>
        </w:tc>
      </w:tr>
      <w:tr w:rsidR="006B1CA9" w:rsidRPr="006B1CA9" w14:paraId="0C98C104" w14:textId="77777777" w:rsidTr="00A30CF3">
        <w:tc>
          <w:tcPr>
            <w:tcW w:w="7083" w:type="dxa"/>
          </w:tcPr>
          <w:p w14:paraId="37B45FC5" w14:textId="77777777" w:rsidR="006B1CA9" w:rsidRPr="006B1CA9" w:rsidRDefault="006B1CA9" w:rsidP="006B1CA9">
            <w:pPr>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Early Intervention in Math for Students with Spec Ed Needs</w:t>
            </w:r>
          </w:p>
        </w:tc>
        <w:tc>
          <w:tcPr>
            <w:tcW w:w="2267" w:type="dxa"/>
          </w:tcPr>
          <w:p w14:paraId="1DCAEAA7" w14:textId="77777777" w:rsidR="006B1CA9" w:rsidRPr="006B1CA9" w:rsidRDefault="006B1CA9" w:rsidP="00D95621">
            <w:pPr>
              <w:jc w:val="right"/>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$110,400</w:t>
            </w:r>
          </w:p>
        </w:tc>
      </w:tr>
      <w:tr w:rsidR="006B1CA9" w:rsidRPr="006B1CA9" w14:paraId="0D052D82" w14:textId="77777777" w:rsidTr="00A30CF3">
        <w:tc>
          <w:tcPr>
            <w:tcW w:w="7083" w:type="dxa"/>
          </w:tcPr>
          <w:p w14:paraId="5B3180B5" w14:textId="77777777" w:rsidR="006B1CA9" w:rsidRPr="006B1CA9" w:rsidRDefault="006B1CA9" w:rsidP="006B1CA9">
            <w:pPr>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Entrepreneurship Education Pilot Projects</w:t>
            </w:r>
          </w:p>
        </w:tc>
        <w:tc>
          <w:tcPr>
            <w:tcW w:w="2267" w:type="dxa"/>
          </w:tcPr>
          <w:p w14:paraId="152379D2" w14:textId="77777777" w:rsidR="006B1CA9" w:rsidRPr="006B1CA9" w:rsidRDefault="006B1CA9" w:rsidP="00D95621">
            <w:pPr>
              <w:jc w:val="right"/>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$10,000</w:t>
            </w:r>
          </w:p>
        </w:tc>
      </w:tr>
      <w:tr w:rsidR="006B1CA9" w:rsidRPr="006B1CA9" w14:paraId="7B1941E5" w14:textId="77777777" w:rsidTr="00A30CF3">
        <w:tc>
          <w:tcPr>
            <w:tcW w:w="7083" w:type="dxa"/>
          </w:tcPr>
          <w:p w14:paraId="1AAF7AE4" w14:textId="77777777" w:rsidR="006B1CA9" w:rsidRPr="006B1CA9" w:rsidRDefault="006B1CA9" w:rsidP="006B1CA9">
            <w:pPr>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Health Resources, Training and Supports</w:t>
            </w:r>
          </w:p>
        </w:tc>
        <w:tc>
          <w:tcPr>
            <w:tcW w:w="2267" w:type="dxa"/>
          </w:tcPr>
          <w:p w14:paraId="590A4C2D" w14:textId="77777777" w:rsidR="006B1CA9" w:rsidRPr="006B1CA9" w:rsidRDefault="006B1CA9" w:rsidP="00D95621">
            <w:pPr>
              <w:jc w:val="right"/>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$5,300</w:t>
            </w:r>
          </w:p>
        </w:tc>
      </w:tr>
      <w:tr w:rsidR="006B1CA9" w:rsidRPr="006B1CA9" w14:paraId="0D90F585" w14:textId="77777777" w:rsidTr="00A30CF3">
        <w:tc>
          <w:tcPr>
            <w:tcW w:w="7083" w:type="dxa"/>
          </w:tcPr>
          <w:p w14:paraId="1301EF72" w14:textId="77777777" w:rsidR="006B1CA9" w:rsidRPr="006B1CA9" w:rsidRDefault="006B1CA9" w:rsidP="006B1CA9">
            <w:pPr>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Keeping Students in School</w:t>
            </w:r>
          </w:p>
        </w:tc>
        <w:tc>
          <w:tcPr>
            <w:tcW w:w="2267" w:type="dxa"/>
          </w:tcPr>
          <w:p w14:paraId="4C4BA8A1" w14:textId="77777777" w:rsidR="006B1CA9" w:rsidRPr="006B1CA9" w:rsidRDefault="006B1CA9" w:rsidP="00D95621">
            <w:pPr>
              <w:jc w:val="right"/>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$51,000</w:t>
            </w:r>
          </w:p>
        </w:tc>
      </w:tr>
      <w:tr w:rsidR="006B1CA9" w:rsidRPr="006B1CA9" w14:paraId="0B165492" w14:textId="77777777" w:rsidTr="00A30CF3">
        <w:tc>
          <w:tcPr>
            <w:tcW w:w="7083" w:type="dxa"/>
          </w:tcPr>
          <w:p w14:paraId="0D27984E" w14:textId="77777777" w:rsidR="006B1CA9" w:rsidRPr="006B1CA9" w:rsidRDefault="006B1CA9" w:rsidP="006B1CA9">
            <w:pPr>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Learn and Work Bursary Program</w:t>
            </w:r>
          </w:p>
        </w:tc>
        <w:tc>
          <w:tcPr>
            <w:tcW w:w="2267" w:type="dxa"/>
          </w:tcPr>
          <w:p w14:paraId="430AA986" w14:textId="77777777" w:rsidR="006B1CA9" w:rsidRPr="006B1CA9" w:rsidRDefault="006B1CA9" w:rsidP="00D95621">
            <w:pPr>
              <w:jc w:val="right"/>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$20,000</w:t>
            </w:r>
          </w:p>
        </w:tc>
      </w:tr>
      <w:tr w:rsidR="006B1CA9" w:rsidRPr="006B1CA9" w14:paraId="3FA8281D" w14:textId="77777777" w:rsidTr="00A30CF3">
        <w:tc>
          <w:tcPr>
            <w:tcW w:w="7083" w:type="dxa"/>
          </w:tcPr>
          <w:p w14:paraId="72B7252D" w14:textId="77777777" w:rsidR="006B1CA9" w:rsidRPr="006B1CA9" w:rsidRDefault="006B1CA9" w:rsidP="006B1CA9">
            <w:pPr>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Math Strategy</w:t>
            </w:r>
          </w:p>
        </w:tc>
        <w:tc>
          <w:tcPr>
            <w:tcW w:w="2267" w:type="dxa"/>
          </w:tcPr>
          <w:p w14:paraId="771A1BC4" w14:textId="77777777" w:rsidR="006B1CA9" w:rsidRPr="006B1CA9" w:rsidRDefault="006B1CA9" w:rsidP="00D95621">
            <w:pPr>
              <w:jc w:val="right"/>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$189,500</w:t>
            </w:r>
          </w:p>
        </w:tc>
      </w:tr>
      <w:tr w:rsidR="006B1CA9" w:rsidRPr="006B1CA9" w14:paraId="71AB7C7D" w14:textId="77777777" w:rsidTr="00A30CF3">
        <w:tc>
          <w:tcPr>
            <w:tcW w:w="7083" w:type="dxa"/>
          </w:tcPr>
          <w:p w14:paraId="3117A865" w14:textId="77777777" w:rsidR="006B1CA9" w:rsidRPr="006B1CA9" w:rsidRDefault="006B1CA9" w:rsidP="006B1CA9">
            <w:pPr>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Skilled Trades Bursary Program</w:t>
            </w:r>
          </w:p>
        </w:tc>
        <w:tc>
          <w:tcPr>
            <w:tcW w:w="2267" w:type="dxa"/>
          </w:tcPr>
          <w:p w14:paraId="73A3E595" w14:textId="77777777" w:rsidR="006B1CA9" w:rsidRPr="006B1CA9" w:rsidRDefault="006B1CA9" w:rsidP="00D95621">
            <w:pPr>
              <w:jc w:val="right"/>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$11,000</w:t>
            </w:r>
          </w:p>
        </w:tc>
      </w:tr>
      <w:tr w:rsidR="006B1CA9" w:rsidRPr="006B1CA9" w14:paraId="58DC9018" w14:textId="77777777" w:rsidTr="00A30CF3">
        <w:tc>
          <w:tcPr>
            <w:tcW w:w="7083" w:type="dxa"/>
          </w:tcPr>
          <w:p w14:paraId="5AD3AEE3" w14:textId="77777777" w:rsidR="006B1CA9" w:rsidRPr="006B1CA9" w:rsidRDefault="006B1CA9" w:rsidP="006B1CA9">
            <w:pPr>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Special Education Additional Qualifications Subsidy Educators</w:t>
            </w:r>
          </w:p>
        </w:tc>
        <w:tc>
          <w:tcPr>
            <w:tcW w:w="2267" w:type="dxa"/>
          </w:tcPr>
          <w:p w14:paraId="05E90E77" w14:textId="77777777" w:rsidR="006B1CA9" w:rsidRPr="006B1CA9" w:rsidRDefault="006B1CA9" w:rsidP="00D95621">
            <w:pPr>
              <w:jc w:val="right"/>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$8,100</w:t>
            </w:r>
          </w:p>
        </w:tc>
      </w:tr>
      <w:tr w:rsidR="006B1CA9" w:rsidRPr="006B1CA9" w14:paraId="3687A599" w14:textId="77777777" w:rsidTr="00A30CF3">
        <w:tc>
          <w:tcPr>
            <w:tcW w:w="7083" w:type="dxa"/>
          </w:tcPr>
          <w:p w14:paraId="2090D0A6" w14:textId="77777777" w:rsidR="006B1CA9" w:rsidRPr="006B1CA9" w:rsidRDefault="006B1CA9" w:rsidP="006B1CA9">
            <w:pPr>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Summer Learning Special Education Supports</w:t>
            </w:r>
          </w:p>
        </w:tc>
        <w:tc>
          <w:tcPr>
            <w:tcW w:w="2267" w:type="dxa"/>
          </w:tcPr>
          <w:p w14:paraId="6EA1214E" w14:textId="77777777" w:rsidR="006B1CA9" w:rsidRPr="006B1CA9" w:rsidRDefault="006B1CA9" w:rsidP="00D95621">
            <w:pPr>
              <w:jc w:val="right"/>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$89,300</w:t>
            </w:r>
          </w:p>
        </w:tc>
      </w:tr>
      <w:tr w:rsidR="006B1CA9" w:rsidRPr="006B1CA9" w14:paraId="77D2A3B1" w14:textId="77777777" w:rsidTr="00A30CF3">
        <w:tc>
          <w:tcPr>
            <w:tcW w:w="7083" w:type="dxa"/>
          </w:tcPr>
          <w:p w14:paraId="0CE8A697" w14:textId="77777777" w:rsidR="006B1CA9" w:rsidRPr="006B1CA9" w:rsidRDefault="006B1CA9" w:rsidP="006B1CA9">
            <w:pPr>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Tutoring Supports</w:t>
            </w:r>
          </w:p>
        </w:tc>
        <w:tc>
          <w:tcPr>
            <w:tcW w:w="2267" w:type="dxa"/>
          </w:tcPr>
          <w:p w14:paraId="544BB7AF" w14:textId="77777777" w:rsidR="006B1CA9" w:rsidRPr="006B1CA9" w:rsidRDefault="006B1CA9" w:rsidP="00D95621">
            <w:pPr>
              <w:jc w:val="right"/>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$538,100</w:t>
            </w:r>
          </w:p>
        </w:tc>
      </w:tr>
    </w:tbl>
    <w:p w14:paraId="66DEA573" w14:textId="77777777" w:rsidR="006B1CA9" w:rsidRPr="006B1CA9" w:rsidRDefault="006B1CA9" w:rsidP="006B1CA9">
      <w:pPr>
        <w:spacing w:after="0" w:line="240" w:lineRule="auto"/>
        <w:rPr>
          <w:rFonts w:asciiTheme="majorHAnsi" w:eastAsia="Times" w:hAnsiTheme="majorHAnsi" w:cstheme="majorHAnsi"/>
          <w:sz w:val="24"/>
          <w:szCs w:val="24"/>
          <w:lang w:val="en-US"/>
        </w:rPr>
      </w:pPr>
    </w:p>
    <w:p w14:paraId="067E1934" w14:textId="03C06E8F" w:rsidR="006B1CA9" w:rsidRPr="006B1CA9" w:rsidRDefault="006B1CA9" w:rsidP="006B1CA9">
      <w:pPr>
        <w:spacing w:after="0" w:line="240" w:lineRule="auto"/>
        <w:rPr>
          <w:rFonts w:asciiTheme="majorHAnsi" w:eastAsia="Times" w:hAnsiTheme="majorHAnsi" w:cstheme="majorHAnsi"/>
          <w:sz w:val="24"/>
          <w:szCs w:val="24"/>
          <w:u w:val="single"/>
          <w:lang w:val="en-US"/>
        </w:rPr>
      </w:pPr>
      <w:r w:rsidRPr="006B1CA9">
        <w:rPr>
          <w:rFonts w:asciiTheme="majorHAnsi" w:eastAsia="Times" w:hAnsiTheme="majorHAnsi" w:cstheme="majorHAnsi"/>
          <w:sz w:val="24"/>
          <w:szCs w:val="24"/>
          <w:u w:val="single"/>
          <w:lang w:val="en-US"/>
        </w:rPr>
        <w:t>Budget</w:t>
      </w:r>
    </w:p>
    <w:p w14:paraId="2E998D00" w14:textId="0396317B" w:rsidR="006B1CA9" w:rsidRPr="006B1CA9" w:rsidRDefault="006B1CA9" w:rsidP="006B1CA9">
      <w:pPr>
        <w:spacing w:after="0" w:line="240" w:lineRule="auto"/>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 xml:space="preserve">The </w:t>
      </w:r>
      <w:r w:rsidR="00BF3703">
        <w:rPr>
          <w:rFonts w:asciiTheme="majorHAnsi" w:eastAsia="Times" w:hAnsiTheme="majorHAnsi" w:cstheme="majorHAnsi"/>
          <w:sz w:val="24"/>
          <w:szCs w:val="24"/>
          <w:lang w:val="en-US"/>
        </w:rPr>
        <w:t xml:space="preserve">ministry </w:t>
      </w:r>
      <w:r w:rsidR="009A1577">
        <w:rPr>
          <w:rFonts w:asciiTheme="majorHAnsi" w:eastAsia="Times" w:hAnsiTheme="majorHAnsi" w:cstheme="majorHAnsi"/>
          <w:sz w:val="24"/>
          <w:szCs w:val="24"/>
          <w:lang w:val="en-US"/>
        </w:rPr>
        <w:t xml:space="preserve">preference is for boards to </w:t>
      </w:r>
      <w:r w:rsidR="00384C25">
        <w:rPr>
          <w:rFonts w:asciiTheme="majorHAnsi" w:eastAsia="Times" w:hAnsiTheme="majorHAnsi" w:cstheme="majorHAnsi"/>
          <w:sz w:val="24"/>
          <w:szCs w:val="24"/>
          <w:lang w:val="en-US"/>
        </w:rPr>
        <w:t xml:space="preserve">develop a balanced budget however </w:t>
      </w:r>
      <w:r w:rsidRPr="006B1CA9">
        <w:rPr>
          <w:rFonts w:asciiTheme="majorHAnsi" w:eastAsia="Times" w:hAnsiTheme="majorHAnsi" w:cstheme="majorHAnsi"/>
          <w:sz w:val="24"/>
          <w:szCs w:val="24"/>
          <w:lang w:val="en-US"/>
        </w:rPr>
        <w:t>an in-year deficit of no more than 1% of operating revenue of the preceding year</w:t>
      </w:r>
      <w:r w:rsidR="001D7A96">
        <w:rPr>
          <w:rFonts w:asciiTheme="majorHAnsi" w:eastAsia="Times" w:hAnsiTheme="majorHAnsi" w:cstheme="majorHAnsi"/>
          <w:sz w:val="24"/>
          <w:szCs w:val="24"/>
          <w:lang w:val="en-US"/>
        </w:rPr>
        <w:t xml:space="preserve"> is permitted</w:t>
      </w:r>
      <w:r w:rsidR="00384C25">
        <w:rPr>
          <w:rFonts w:asciiTheme="majorHAnsi" w:eastAsia="Times" w:hAnsiTheme="majorHAnsi" w:cstheme="majorHAnsi"/>
          <w:sz w:val="24"/>
          <w:szCs w:val="24"/>
          <w:lang w:val="en-US"/>
        </w:rPr>
        <w:t>, with trustee approval</w:t>
      </w:r>
      <w:r w:rsidRPr="006B1CA9">
        <w:rPr>
          <w:rFonts w:asciiTheme="majorHAnsi" w:eastAsia="Times" w:hAnsiTheme="majorHAnsi" w:cstheme="majorHAnsi"/>
          <w:sz w:val="24"/>
          <w:szCs w:val="24"/>
          <w:lang w:val="en-US"/>
        </w:rPr>
        <w:t>.</w:t>
      </w:r>
      <w:r w:rsidR="00FE6761">
        <w:rPr>
          <w:rFonts w:asciiTheme="majorHAnsi" w:eastAsia="Times" w:hAnsiTheme="majorHAnsi" w:cstheme="majorHAnsi"/>
          <w:sz w:val="24"/>
          <w:szCs w:val="24"/>
          <w:lang w:val="en-US"/>
        </w:rPr>
        <w:t xml:space="preserve">  </w:t>
      </w:r>
    </w:p>
    <w:p w14:paraId="53C2F9D0" w14:textId="77777777" w:rsidR="006B1CA9" w:rsidRPr="006B1CA9" w:rsidRDefault="006B1CA9" w:rsidP="006B1CA9">
      <w:pPr>
        <w:spacing w:after="0" w:line="240" w:lineRule="auto"/>
        <w:rPr>
          <w:rFonts w:asciiTheme="majorHAnsi" w:eastAsia="Times" w:hAnsiTheme="majorHAnsi" w:cstheme="majorHAnsi"/>
          <w:sz w:val="24"/>
          <w:szCs w:val="24"/>
          <w:lang w:val="en-US"/>
        </w:rPr>
      </w:pPr>
    </w:p>
    <w:p w14:paraId="79F67EF8" w14:textId="77777777" w:rsidR="006B1CA9" w:rsidRPr="006B1CA9" w:rsidRDefault="006B1CA9" w:rsidP="006B1CA9">
      <w:pPr>
        <w:spacing w:after="0" w:line="240" w:lineRule="auto"/>
        <w:rPr>
          <w:rFonts w:asciiTheme="majorHAnsi" w:eastAsia="Times" w:hAnsiTheme="majorHAnsi" w:cstheme="majorHAnsi"/>
          <w:sz w:val="24"/>
          <w:szCs w:val="24"/>
          <w:u w:val="single"/>
          <w:lang w:val="en-US"/>
        </w:rPr>
      </w:pPr>
      <w:r w:rsidRPr="006B1CA9">
        <w:rPr>
          <w:rFonts w:asciiTheme="majorHAnsi" w:eastAsia="Times" w:hAnsiTheme="majorHAnsi" w:cstheme="majorHAnsi"/>
          <w:sz w:val="24"/>
          <w:szCs w:val="24"/>
          <w:u w:val="single"/>
          <w:lang w:val="en-US"/>
        </w:rPr>
        <w:t>Submissions of Financial Reports</w:t>
      </w:r>
    </w:p>
    <w:p w14:paraId="0071EB35" w14:textId="3674DAA4" w:rsidR="006B1CA9" w:rsidRPr="006B1CA9" w:rsidRDefault="006B1CA9" w:rsidP="006B1CA9">
      <w:pPr>
        <w:spacing w:after="0" w:line="240" w:lineRule="auto"/>
        <w:rPr>
          <w:rFonts w:asciiTheme="majorHAnsi" w:eastAsia="Times" w:hAnsiTheme="majorHAnsi" w:cstheme="majorHAnsi"/>
          <w:sz w:val="24"/>
          <w:szCs w:val="24"/>
          <w:lang w:val="en-US"/>
        </w:rPr>
      </w:pPr>
      <w:r w:rsidRPr="006B1CA9">
        <w:rPr>
          <w:rFonts w:asciiTheme="majorHAnsi" w:eastAsia="Times" w:hAnsiTheme="majorHAnsi" w:cstheme="majorHAnsi"/>
          <w:sz w:val="24"/>
          <w:szCs w:val="24"/>
          <w:lang w:val="en-US"/>
        </w:rPr>
        <w:t>2022-23 Estimates documents are due to the Ministry by June 30, 202</w:t>
      </w:r>
      <w:r w:rsidR="00675DF1">
        <w:rPr>
          <w:rFonts w:asciiTheme="majorHAnsi" w:eastAsia="Times" w:hAnsiTheme="majorHAnsi" w:cstheme="majorHAnsi"/>
          <w:sz w:val="24"/>
          <w:szCs w:val="24"/>
          <w:lang w:val="en-US"/>
        </w:rPr>
        <w:t>2</w:t>
      </w:r>
      <w:r w:rsidRPr="006B1CA9">
        <w:rPr>
          <w:rFonts w:asciiTheme="majorHAnsi" w:eastAsia="Times" w:hAnsiTheme="majorHAnsi" w:cstheme="majorHAnsi"/>
          <w:sz w:val="24"/>
          <w:szCs w:val="24"/>
          <w:lang w:val="en-US"/>
        </w:rPr>
        <w:t xml:space="preserve">.  </w:t>
      </w:r>
    </w:p>
    <w:p w14:paraId="1E53036F" w14:textId="3AD9D7C4" w:rsidR="00660106" w:rsidRPr="003A57CF" w:rsidRDefault="00660106" w:rsidP="00660106">
      <w:pPr>
        <w:pStyle w:val="Heading1"/>
        <w:rPr>
          <w:rFonts w:eastAsia="Calibri" w:cstheme="majorHAnsi"/>
          <w:lang w:val="en-US"/>
        </w:rPr>
      </w:pPr>
      <w:bookmarkStart w:id="2" w:name="_Toc484167767"/>
      <w:bookmarkStart w:id="3" w:name="_Toc104628853"/>
      <w:r w:rsidRPr="003A57CF">
        <w:rPr>
          <w:rFonts w:eastAsia="Calibri" w:cstheme="majorHAnsi"/>
          <w:lang w:val="en-US"/>
        </w:rPr>
        <w:t>Enrolment</w:t>
      </w:r>
      <w:bookmarkEnd w:id="2"/>
      <w:r w:rsidR="008C5F53">
        <w:rPr>
          <w:rFonts w:eastAsia="Calibri" w:cstheme="majorHAnsi"/>
          <w:lang w:val="en-US"/>
        </w:rPr>
        <w:t xml:space="preserve"> and Class Size</w:t>
      </w:r>
      <w:bookmarkEnd w:id="3"/>
    </w:p>
    <w:p w14:paraId="28CFED14" w14:textId="283A6628" w:rsidR="00176FC7" w:rsidRDefault="00660106" w:rsidP="00660106">
      <w:pPr>
        <w:pStyle w:val="NoSpacing"/>
        <w:rPr>
          <w:rFonts w:asciiTheme="majorHAnsi" w:hAnsiTheme="majorHAnsi" w:cstheme="majorHAnsi"/>
          <w:sz w:val="24"/>
          <w:szCs w:val="24"/>
          <w:lang w:val="en-US"/>
        </w:rPr>
      </w:pPr>
      <w:r w:rsidRPr="007B5D08">
        <w:rPr>
          <w:rFonts w:asciiTheme="majorHAnsi" w:hAnsiTheme="majorHAnsi" w:cstheme="majorHAnsi"/>
          <w:sz w:val="24"/>
          <w:szCs w:val="24"/>
          <w:lang w:val="en-US"/>
        </w:rPr>
        <w:t>A significant part of the budget-setting process will be completed based on academic staffing decisions which are made in April.  These decisions are made based on grant estimates and enrolment projections for the coming year using the best information that we have at that time.  It is important to note that our enrolment projections are derived from a combination of historical trends, registration data, staff experience</w:t>
      </w:r>
      <w:r w:rsidR="00D472E3">
        <w:rPr>
          <w:rFonts w:asciiTheme="majorHAnsi" w:hAnsiTheme="majorHAnsi" w:cstheme="majorHAnsi"/>
          <w:sz w:val="24"/>
          <w:szCs w:val="24"/>
          <w:lang w:val="en-US"/>
        </w:rPr>
        <w:t xml:space="preserve"> and</w:t>
      </w:r>
      <w:r w:rsidRPr="007B5D08">
        <w:rPr>
          <w:rFonts w:asciiTheme="majorHAnsi" w:hAnsiTheme="majorHAnsi" w:cstheme="majorHAnsi"/>
          <w:sz w:val="24"/>
          <w:szCs w:val="24"/>
          <w:lang w:val="en-US"/>
        </w:rPr>
        <w:t xml:space="preserve"> local area knowledge. </w:t>
      </w:r>
      <w:r w:rsidR="006E4EAE" w:rsidRPr="006E4EAE">
        <w:rPr>
          <w:rFonts w:asciiTheme="majorHAnsi" w:hAnsiTheme="majorHAnsi" w:cstheme="majorHAnsi"/>
          <w:sz w:val="24"/>
          <w:szCs w:val="24"/>
          <w:lang w:val="en-US"/>
        </w:rPr>
        <w:t>Elementary enrolment is projected to trend downwards as we see the large grade 6/7/8 classes of the last couple of year</w:t>
      </w:r>
      <w:r w:rsidR="006342F2">
        <w:rPr>
          <w:rFonts w:asciiTheme="majorHAnsi" w:hAnsiTheme="majorHAnsi" w:cstheme="majorHAnsi"/>
          <w:sz w:val="24"/>
          <w:szCs w:val="24"/>
          <w:lang w:val="en-US"/>
        </w:rPr>
        <w:t>s</w:t>
      </w:r>
      <w:r w:rsidR="006E4EAE" w:rsidRPr="006E4EAE">
        <w:rPr>
          <w:rFonts w:asciiTheme="majorHAnsi" w:hAnsiTheme="majorHAnsi" w:cstheme="majorHAnsi"/>
          <w:sz w:val="24"/>
          <w:szCs w:val="24"/>
          <w:lang w:val="en-US"/>
        </w:rPr>
        <w:t xml:space="preserve"> moving onto secondary levels </w:t>
      </w:r>
      <w:r w:rsidR="00A1449D">
        <w:rPr>
          <w:rFonts w:asciiTheme="majorHAnsi" w:hAnsiTheme="majorHAnsi" w:cstheme="majorHAnsi"/>
          <w:sz w:val="24"/>
          <w:szCs w:val="24"/>
          <w:lang w:val="en-US"/>
        </w:rPr>
        <w:t>while</w:t>
      </w:r>
      <w:r w:rsidR="006E4EAE" w:rsidRPr="006E4EAE">
        <w:rPr>
          <w:rFonts w:asciiTheme="majorHAnsi" w:hAnsiTheme="majorHAnsi" w:cstheme="majorHAnsi"/>
          <w:sz w:val="24"/>
          <w:szCs w:val="24"/>
          <w:lang w:val="en-US"/>
        </w:rPr>
        <w:t xml:space="preserve"> FDK enrolment is lowering, which is consistent with census predictions as indicated in the Long-Term Capital report.   </w:t>
      </w:r>
    </w:p>
    <w:p w14:paraId="5A351109" w14:textId="77777777" w:rsidR="008B1C64" w:rsidRDefault="008B1C64" w:rsidP="00660106">
      <w:pPr>
        <w:pStyle w:val="NoSpacing"/>
        <w:rPr>
          <w:rFonts w:asciiTheme="majorHAnsi" w:hAnsiTheme="majorHAnsi" w:cstheme="majorHAnsi"/>
          <w:sz w:val="24"/>
          <w:szCs w:val="24"/>
          <w:lang w:val="en-US"/>
        </w:rPr>
      </w:pPr>
    </w:p>
    <w:p w14:paraId="64BFB8D9" w14:textId="4D90D410" w:rsidR="00FF3CA5" w:rsidRDefault="00751929" w:rsidP="00901BE9">
      <w:pPr>
        <w:pStyle w:val="NoSpacing"/>
        <w:rPr>
          <w:rFonts w:asciiTheme="majorHAnsi" w:eastAsia="Times" w:hAnsiTheme="majorHAnsi" w:cstheme="majorHAnsi"/>
          <w:sz w:val="24"/>
          <w:szCs w:val="24"/>
          <w:lang w:val="en-US"/>
        </w:rPr>
      </w:pPr>
      <w:r>
        <w:rPr>
          <w:rFonts w:asciiTheme="majorHAnsi" w:hAnsiTheme="majorHAnsi" w:cstheme="majorHAnsi"/>
          <w:sz w:val="24"/>
          <w:szCs w:val="24"/>
          <w:lang w:val="en-US"/>
        </w:rPr>
        <w:t xml:space="preserve">In order to </w:t>
      </w:r>
      <w:r w:rsidR="00AE1B64">
        <w:rPr>
          <w:rFonts w:asciiTheme="majorHAnsi" w:hAnsiTheme="majorHAnsi" w:cstheme="majorHAnsi"/>
          <w:sz w:val="24"/>
          <w:szCs w:val="24"/>
          <w:lang w:val="en-US"/>
        </w:rPr>
        <w:t xml:space="preserve">accommodate </w:t>
      </w:r>
      <w:r w:rsidR="00EC6BE8">
        <w:rPr>
          <w:rFonts w:asciiTheme="majorHAnsi" w:hAnsiTheme="majorHAnsi" w:cstheme="majorHAnsi"/>
          <w:sz w:val="24"/>
          <w:szCs w:val="24"/>
          <w:lang w:val="en-US"/>
        </w:rPr>
        <w:t>both our</w:t>
      </w:r>
      <w:r w:rsidR="00AE1B64">
        <w:rPr>
          <w:rFonts w:asciiTheme="majorHAnsi" w:hAnsiTheme="majorHAnsi" w:cstheme="majorHAnsi"/>
          <w:sz w:val="24"/>
          <w:szCs w:val="24"/>
          <w:lang w:val="en-US"/>
        </w:rPr>
        <w:t xml:space="preserve"> </w:t>
      </w:r>
      <w:r w:rsidR="00EC6BE8">
        <w:rPr>
          <w:rFonts w:asciiTheme="majorHAnsi" w:hAnsiTheme="majorHAnsi" w:cstheme="majorHAnsi"/>
          <w:sz w:val="24"/>
          <w:szCs w:val="24"/>
          <w:lang w:val="en-US"/>
        </w:rPr>
        <w:t xml:space="preserve">smaller schools and </w:t>
      </w:r>
      <w:r w:rsidR="00AE1B64">
        <w:rPr>
          <w:rFonts w:asciiTheme="majorHAnsi" w:hAnsiTheme="majorHAnsi" w:cstheme="majorHAnsi"/>
          <w:sz w:val="24"/>
          <w:szCs w:val="24"/>
          <w:lang w:val="en-US"/>
        </w:rPr>
        <w:t>dual track schools</w:t>
      </w:r>
      <w:r w:rsidR="00437C22">
        <w:rPr>
          <w:rFonts w:asciiTheme="majorHAnsi" w:eastAsia="Times" w:hAnsiTheme="majorHAnsi" w:cstheme="majorHAnsi"/>
          <w:sz w:val="24"/>
          <w:szCs w:val="24"/>
          <w:lang w:val="en-US"/>
        </w:rPr>
        <w:t xml:space="preserve"> the</w:t>
      </w:r>
      <w:r w:rsidR="00F361BD">
        <w:rPr>
          <w:rFonts w:asciiTheme="majorHAnsi" w:eastAsia="Times" w:hAnsiTheme="majorHAnsi" w:cstheme="majorHAnsi"/>
          <w:sz w:val="24"/>
          <w:szCs w:val="24"/>
          <w:lang w:val="en-US"/>
        </w:rPr>
        <w:t xml:space="preserve"> primary class size average is lower than the amount funded </w:t>
      </w:r>
      <w:r w:rsidR="00437C22">
        <w:rPr>
          <w:rFonts w:asciiTheme="majorHAnsi" w:eastAsia="Times" w:hAnsiTheme="majorHAnsi" w:cstheme="majorHAnsi"/>
          <w:sz w:val="24"/>
          <w:szCs w:val="24"/>
          <w:lang w:val="en-US"/>
        </w:rPr>
        <w:t>and</w:t>
      </w:r>
      <w:r w:rsidR="00F361BD">
        <w:rPr>
          <w:rFonts w:asciiTheme="majorHAnsi" w:eastAsia="Times" w:hAnsiTheme="majorHAnsi" w:cstheme="majorHAnsi"/>
          <w:sz w:val="24"/>
          <w:szCs w:val="24"/>
          <w:lang w:val="en-US"/>
        </w:rPr>
        <w:t xml:space="preserve"> </w:t>
      </w:r>
      <w:r w:rsidR="00A904BD">
        <w:rPr>
          <w:rFonts w:asciiTheme="majorHAnsi" w:eastAsia="Times" w:hAnsiTheme="majorHAnsi" w:cstheme="majorHAnsi"/>
          <w:sz w:val="24"/>
          <w:szCs w:val="24"/>
          <w:lang w:val="en-US"/>
        </w:rPr>
        <w:t>this will</w:t>
      </w:r>
      <w:r w:rsidR="00F361BD">
        <w:rPr>
          <w:rFonts w:asciiTheme="majorHAnsi" w:eastAsia="Times" w:hAnsiTheme="majorHAnsi" w:cstheme="majorHAnsi"/>
          <w:sz w:val="24"/>
          <w:szCs w:val="24"/>
          <w:lang w:val="en-US"/>
        </w:rPr>
        <w:t xml:space="preserve"> cost the board</w:t>
      </w:r>
      <w:r w:rsidR="009D33D7">
        <w:rPr>
          <w:rFonts w:asciiTheme="majorHAnsi" w:eastAsia="Times" w:hAnsiTheme="majorHAnsi" w:cstheme="majorHAnsi"/>
          <w:sz w:val="24"/>
          <w:szCs w:val="24"/>
          <w:lang w:val="en-US"/>
        </w:rPr>
        <w:t xml:space="preserve"> more in elementary </w:t>
      </w:r>
      <w:r w:rsidR="001C722E">
        <w:rPr>
          <w:rFonts w:asciiTheme="majorHAnsi" w:eastAsia="Times" w:hAnsiTheme="majorHAnsi" w:cstheme="majorHAnsi"/>
          <w:sz w:val="24"/>
          <w:szCs w:val="24"/>
          <w:lang w:val="en-US"/>
        </w:rPr>
        <w:t xml:space="preserve">teacher </w:t>
      </w:r>
      <w:r w:rsidR="009D33D7">
        <w:rPr>
          <w:rFonts w:asciiTheme="majorHAnsi" w:eastAsia="Times" w:hAnsiTheme="majorHAnsi" w:cstheme="majorHAnsi"/>
          <w:sz w:val="24"/>
          <w:szCs w:val="24"/>
          <w:lang w:val="en-US"/>
        </w:rPr>
        <w:t>staffing th</w:t>
      </w:r>
      <w:r w:rsidR="00AE156B">
        <w:rPr>
          <w:rFonts w:asciiTheme="majorHAnsi" w:eastAsia="Times" w:hAnsiTheme="majorHAnsi" w:cstheme="majorHAnsi"/>
          <w:sz w:val="24"/>
          <w:szCs w:val="24"/>
          <w:lang w:val="en-US"/>
        </w:rPr>
        <w:t>a</w:t>
      </w:r>
      <w:r w:rsidR="009D33D7">
        <w:rPr>
          <w:rFonts w:asciiTheme="majorHAnsi" w:eastAsia="Times" w:hAnsiTheme="majorHAnsi" w:cstheme="majorHAnsi"/>
          <w:sz w:val="24"/>
          <w:szCs w:val="24"/>
          <w:lang w:val="en-US"/>
        </w:rPr>
        <w:t xml:space="preserve">n is funded. </w:t>
      </w:r>
    </w:p>
    <w:tbl>
      <w:tblPr>
        <w:tblStyle w:val="TableGrid"/>
        <w:tblW w:w="0" w:type="auto"/>
        <w:tblLook w:val="04A0" w:firstRow="1" w:lastRow="0" w:firstColumn="1" w:lastColumn="0" w:noHBand="0" w:noVBand="1"/>
      </w:tblPr>
      <w:tblGrid>
        <w:gridCol w:w="3681"/>
        <w:gridCol w:w="2552"/>
        <w:gridCol w:w="3117"/>
      </w:tblGrid>
      <w:tr w:rsidR="00AE3D3D" w14:paraId="45CF759F" w14:textId="77777777" w:rsidTr="005B4FEB">
        <w:tc>
          <w:tcPr>
            <w:tcW w:w="3681" w:type="dxa"/>
          </w:tcPr>
          <w:p w14:paraId="66BE8ADE" w14:textId="58CF5820" w:rsidR="00AE3D3D" w:rsidRDefault="00F52269" w:rsidP="00901BE9">
            <w:pPr>
              <w:pStyle w:val="NoSpacing"/>
              <w:rPr>
                <w:rFonts w:asciiTheme="majorHAnsi" w:eastAsia="Times" w:hAnsiTheme="majorHAnsi" w:cstheme="majorHAnsi"/>
                <w:sz w:val="24"/>
                <w:szCs w:val="24"/>
                <w:lang w:val="en-US"/>
              </w:rPr>
            </w:pPr>
            <w:r>
              <w:rPr>
                <w:rFonts w:asciiTheme="majorHAnsi" w:eastAsia="Times" w:hAnsiTheme="majorHAnsi" w:cstheme="majorHAnsi"/>
                <w:sz w:val="24"/>
                <w:szCs w:val="24"/>
                <w:lang w:val="en-US"/>
              </w:rPr>
              <w:t>Primary Class Size</w:t>
            </w:r>
          </w:p>
        </w:tc>
        <w:tc>
          <w:tcPr>
            <w:tcW w:w="2552" w:type="dxa"/>
          </w:tcPr>
          <w:p w14:paraId="36E25552" w14:textId="1846B6D9" w:rsidR="00AE3D3D" w:rsidRDefault="00F52269" w:rsidP="005B4FEB">
            <w:pPr>
              <w:pStyle w:val="NoSpacing"/>
              <w:jc w:val="center"/>
              <w:rPr>
                <w:rFonts w:asciiTheme="majorHAnsi" w:eastAsia="Times" w:hAnsiTheme="majorHAnsi" w:cstheme="majorHAnsi"/>
                <w:sz w:val="24"/>
                <w:szCs w:val="24"/>
                <w:lang w:val="en-US"/>
              </w:rPr>
            </w:pPr>
            <w:r>
              <w:rPr>
                <w:rFonts w:asciiTheme="majorHAnsi" w:eastAsia="Times" w:hAnsiTheme="majorHAnsi" w:cstheme="majorHAnsi"/>
                <w:sz w:val="24"/>
                <w:szCs w:val="24"/>
                <w:lang w:val="en-US"/>
              </w:rPr>
              <w:t>Funded</w:t>
            </w:r>
          </w:p>
        </w:tc>
        <w:tc>
          <w:tcPr>
            <w:tcW w:w="3117" w:type="dxa"/>
          </w:tcPr>
          <w:p w14:paraId="23EFE922" w14:textId="033B345A" w:rsidR="00AE3D3D" w:rsidRDefault="00F52269" w:rsidP="005B4FEB">
            <w:pPr>
              <w:pStyle w:val="NoSpacing"/>
              <w:jc w:val="center"/>
              <w:rPr>
                <w:rFonts w:asciiTheme="majorHAnsi" w:eastAsia="Times" w:hAnsiTheme="majorHAnsi" w:cstheme="majorHAnsi"/>
                <w:sz w:val="24"/>
                <w:szCs w:val="24"/>
                <w:lang w:val="en-US"/>
              </w:rPr>
            </w:pPr>
            <w:r>
              <w:rPr>
                <w:rFonts w:asciiTheme="majorHAnsi" w:eastAsia="Times" w:hAnsiTheme="majorHAnsi" w:cstheme="majorHAnsi"/>
                <w:sz w:val="24"/>
                <w:szCs w:val="24"/>
                <w:lang w:val="en-US"/>
              </w:rPr>
              <w:t>Staffed</w:t>
            </w:r>
          </w:p>
        </w:tc>
      </w:tr>
      <w:tr w:rsidR="00AE3D3D" w14:paraId="21CA8F65" w14:textId="77777777" w:rsidTr="005B4FEB">
        <w:tc>
          <w:tcPr>
            <w:tcW w:w="3681" w:type="dxa"/>
          </w:tcPr>
          <w:p w14:paraId="42E03E69" w14:textId="79858215" w:rsidR="00AE3D3D" w:rsidRDefault="00F52269" w:rsidP="00901BE9">
            <w:pPr>
              <w:pStyle w:val="NoSpacing"/>
              <w:rPr>
                <w:rFonts w:asciiTheme="majorHAnsi" w:eastAsia="Times" w:hAnsiTheme="majorHAnsi" w:cstheme="majorHAnsi"/>
                <w:sz w:val="24"/>
                <w:szCs w:val="24"/>
                <w:lang w:val="en-US"/>
              </w:rPr>
            </w:pPr>
            <w:r>
              <w:rPr>
                <w:rFonts w:asciiTheme="majorHAnsi" w:eastAsia="Times" w:hAnsiTheme="majorHAnsi" w:cstheme="majorHAnsi"/>
                <w:sz w:val="24"/>
                <w:szCs w:val="24"/>
                <w:lang w:val="en-US"/>
              </w:rPr>
              <w:t>FDK</w:t>
            </w:r>
          </w:p>
        </w:tc>
        <w:tc>
          <w:tcPr>
            <w:tcW w:w="2552" w:type="dxa"/>
          </w:tcPr>
          <w:p w14:paraId="2FC72055" w14:textId="454595B1" w:rsidR="00AE3D3D" w:rsidRDefault="001C722E" w:rsidP="005B4FEB">
            <w:pPr>
              <w:pStyle w:val="NoSpacing"/>
              <w:jc w:val="center"/>
              <w:rPr>
                <w:rFonts w:asciiTheme="majorHAnsi" w:eastAsia="Times" w:hAnsiTheme="majorHAnsi" w:cstheme="majorHAnsi"/>
                <w:sz w:val="24"/>
                <w:szCs w:val="24"/>
                <w:lang w:val="en-US"/>
              </w:rPr>
            </w:pPr>
            <w:r>
              <w:rPr>
                <w:rFonts w:asciiTheme="majorHAnsi" w:eastAsia="Times" w:hAnsiTheme="majorHAnsi" w:cstheme="majorHAnsi"/>
                <w:sz w:val="24"/>
                <w:szCs w:val="24"/>
                <w:lang w:val="en-US"/>
              </w:rPr>
              <w:t>25.57</w:t>
            </w:r>
          </w:p>
        </w:tc>
        <w:tc>
          <w:tcPr>
            <w:tcW w:w="3117" w:type="dxa"/>
          </w:tcPr>
          <w:p w14:paraId="05301CB9" w14:textId="601BCCBD" w:rsidR="00AE3D3D" w:rsidRDefault="00186752" w:rsidP="005B4FEB">
            <w:pPr>
              <w:pStyle w:val="NoSpacing"/>
              <w:jc w:val="center"/>
              <w:rPr>
                <w:rFonts w:asciiTheme="majorHAnsi" w:eastAsia="Times" w:hAnsiTheme="majorHAnsi" w:cstheme="majorHAnsi"/>
                <w:sz w:val="24"/>
                <w:szCs w:val="24"/>
                <w:lang w:val="en-US"/>
              </w:rPr>
            </w:pPr>
            <w:r>
              <w:rPr>
                <w:rFonts w:asciiTheme="majorHAnsi" w:eastAsia="Times" w:hAnsiTheme="majorHAnsi" w:cstheme="majorHAnsi"/>
                <w:sz w:val="24"/>
                <w:szCs w:val="24"/>
                <w:lang w:val="en-US"/>
              </w:rPr>
              <w:t>20.63</w:t>
            </w:r>
          </w:p>
        </w:tc>
      </w:tr>
      <w:tr w:rsidR="00AE3D3D" w14:paraId="59A3ECAF" w14:textId="77777777" w:rsidTr="005B4FEB">
        <w:tc>
          <w:tcPr>
            <w:tcW w:w="3681" w:type="dxa"/>
          </w:tcPr>
          <w:p w14:paraId="72EBD348" w14:textId="399AD645" w:rsidR="00AE3D3D" w:rsidRDefault="00F52269" w:rsidP="00901BE9">
            <w:pPr>
              <w:pStyle w:val="NoSpacing"/>
              <w:rPr>
                <w:rFonts w:asciiTheme="majorHAnsi" w:eastAsia="Times" w:hAnsiTheme="majorHAnsi" w:cstheme="majorHAnsi"/>
                <w:sz w:val="24"/>
                <w:szCs w:val="24"/>
                <w:lang w:val="en-US"/>
              </w:rPr>
            </w:pPr>
            <w:r>
              <w:rPr>
                <w:rFonts w:asciiTheme="majorHAnsi" w:eastAsia="Times" w:hAnsiTheme="majorHAnsi" w:cstheme="majorHAnsi"/>
                <w:sz w:val="24"/>
                <w:szCs w:val="24"/>
                <w:lang w:val="en-US"/>
              </w:rPr>
              <w:t>Primary</w:t>
            </w:r>
            <w:r w:rsidR="005B4FEB">
              <w:rPr>
                <w:rFonts w:asciiTheme="majorHAnsi" w:eastAsia="Times" w:hAnsiTheme="majorHAnsi" w:cstheme="majorHAnsi"/>
                <w:sz w:val="24"/>
                <w:szCs w:val="24"/>
                <w:lang w:val="en-US"/>
              </w:rPr>
              <w:t xml:space="preserve"> (Grades 1-2)</w:t>
            </w:r>
          </w:p>
        </w:tc>
        <w:tc>
          <w:tcPr>
            <w:tcW w:w="2552" w:type="dxa"/>
          </w:tcPr>
          <w:p w14:paraId="5C1556D5" w14:textId="72482C27" w:rsidR="00AE3D3D" w:rsidRDefault="00297D49" w:rsidP="005B4FEB">
            <w:pPr>
              <w:pStyle w:val="NoSpacing"/>
              <w:jc w:val="center"/>
              <w:rPr>
                <w:rFonts w:asciiTheme="majorHAnsi" w:eastAsia="Times" w:hAnsiTheme="majorHAnsi" w:cstheme="majorHAnsi"/>
                <w:sz w:val="24"/>
                <w:szCs w:val="24"/>
                <w:lang w:val="en-US"/>
              </w:rPr>
            </w:pPr>
            <w:r>
              <w:rPr>
                <w:rFonts w:asciiTheme="majorHAnsi" w:eastAsia="Times" w:hAnsiTheme="majorHAnsi" w:cstheme="majorHAnsi"/>
                <w:sz w:val="24"/>
                <w:szCs w:val="24"/>
                <w:lang w:val="en-US"/>
              </w:rPr>
              <w:t>19.8</w:t>
            </w:r>
          </w:p>
        </w:tc>
        <w:tc>
          <w:tcPr>
            <w:tcW w:w="3117" w:type="dxa"/>
          </w:tcPr>
          <w:p w14:paraId="39B115F3" w14:textId="045E4440" w:rsidR="00AE3D3D" w:rsidRDefault="00186752" w:rsidP="005B4FEB">
            <w:pPr>
              <w:pStyle w:val="NoSpacing"/>
              <w:jc w:val="center"/>
              <w:rPr>
                <w:rFonts w:asciiTheme="majorHAnsi" w:eastAsia="Times" w:hAnsiTheme="majorHAnsi" w:cstheme="majorHAnsi"/>
                <w:sz w:val="24"/>
                <w:szCs w:val="24"/>
                <w:lang w:val="en-US"/>
              </w:rPr>
            </w:pPr>
            <w:r>
              <w:rPr>
                <w:rFonts w:asciiTheme="majorHAnsi" w:eastAsia="Times" w:hAnsiTheme="majorHAnsi" w:cstheme="majorHAnsi"/>
                <w:sz w:val="24"/>
                <w:szCs w:val="24"/>
                <w:lang w:val="en-US"/>
              </w:rPr>
              <w:t>18.82</w:t>
            </w:r>
          </w:p>
        </w:tc>
      </w:tr>
      <w:tr w:rsidR="00AE3D3D" w14:paraId="608671EC" w14:textId="77777777" w:rsidTr="005B4FEB">
        <w:tc>
          <w:tcPr>
            <w:tcW w:w="3681" w:type="dxa"/>
          </w:tcPr>
          <w:p w14:paraId="00BBD483" w14:textId="236A21AE" w:rsidR="00AE3D3D" w:rsidRDefault="005B4FEB" w:rsidP="00901BE9">
            <w:pPr>
              <w:pStyle w:val="NoSpacing"/>
              <w:rPr>
                <w:rFonts w:asciiTheme="majorHAnsi" w:eastAsia="Times" w:hAnsiTheme="majorHAnsi" w:cstheme="majorHAnsi"/>
                <w:sz w:val="24"/>
                <w:szCs w:val="24"/>
                <w:lang w:val="en-US"/>
              </w:rPr>
            </w:pPr>
            <w:r>
              <w:rPr>
                <w:rFonts w:asciiTheme="majorHAnsi" w:eastAsia="Times" w:hAnsiTheme="majorHAnsi" w:cstheme="majorHAnsi"/>
                <w:sz w:val="24"/>
                <w:szCs w:val="24"/>
                <w:lang w:val="en-US"/>
              </w:rPr>
              <w:t>Junior/Intermediate (Grades 4-8)</w:t>
            </w:r>
          </w:p>
        </w:tc>
        <w:tc>
          <w:tcPr>
            <w:tcW w:w="2552" w:type="dxa"/>
          </w:tcPr>
          <w:p w14:paraId="40D45E63" w14:textId="6C06AB8F" w:rsidR="00AE3D3D" w:rsidRDefault="00297D49" w:rsidP="005B4FEB">
            <w:pPr>
              <w:pStyle w:val="NoSpacing"/>
              <w:jc w:val="center"/>
              <w:rPr>
                <w:rFonts w:asciiTheme="majorHAnsi" w:eastAsia="Times" w:hAnsiTheme="majorHAnsi" w:cstheme="majorHAnsi"/>
                <w:sz w:val="24"/>
                <w:szCs w:val="24"/>
                <w:lang w:val="en-US"/>
              </w:rPr>
            </w:pPr>
            <w:r>
              <w:rPr>
                <w:rFonts w:asciiTheme="majorHAnsi" w:eastAsia="Times" w:hAnsiTheme="majorHAnsi" w:cstheme="majorHAnsi"/>
                <w:sz w:val="24"/>
                <w:szCs w:val="24"/>
                <w:lang w:val="en-US"/>
              </w:rPr>
              <w:t>24.5</w:t>
            </w:r>
          </w:p>
        </w:tc>
        <w:tc>
          <w:tcPr>
            <w:tcW w:w="3117" w:type="dxa"/>
          </w:tcPr>
          <w:p w14:paraId="2E35C9AB" w14:textId="7C516E5E" w:rsidR="00AE3D3D" w:rsidRDefault="00186752" w:rsidP="005B4FEB">
            <w:pPr>
              <w:pStyle w:val="NoSpacing"/>
              <w:jc w:val="center"/>
              <w:rPr>
                <w:rFonts w:asciiTheme="majorHAnsi" w:eastAsia="Times" w:hAnsiTheme="majorHAnsi" w:cstheme="majorHAnsi"/>
                <w:sz w:val="24"/>
                <w:szCs w:val="24"/>
                <w:lang w:val="en-US"/>
              </w:rPr>
            </w:pPr>
            <w:r>
              <w:rPr>
                <w:rFonts w:asciiTheme="majorHAnsi" w:eastAsia="Times" w:hAnsiTheme="majorHAnsi" w:cstheme="majorHAnsi"/>
                <w:sz w:val="24"/>
                <w:szCs w:val="24"/>
                <w:lang w:val="en-US"/>
              </w:rPr>
              <w:t>23.99</w:t>
            </w:r>
          </w:p>
        </w:tc>
      </w:tr>
    </w:tbl>
    <w:p w14:paraId="7499E77E" w14:textId="77777777" w:rsidR="00461806" w:rsidRDefault="00461806" w:rsidP="00901BE9">
      <w:pPr>
        <w:pStyle w:val="NoSpacing"/>
        <w:rPr>
          <w:rFonts w:asciiTheme="majorHAnsi" w:eastAsia="Times" w:hAnsiTheme="majorHAnsi" w:cstheme="majorHAnsi"/>
          <w:sz w:val="24"/>
          <w:szCs w:val="24"/>
          <w:lang w:val="en-US"/>
        </w:rPr>
      </w:pPr>
    </w:p>
    <w:p w14:paraId="37ED759F" w14:textId="22FCCE54" w:rsidR="00901BE9" w:rsidRDefault="00901BE9" w:rsidP="00901BE9">
      <w:pPr>
        <w:pStyle w:val="NoSpacing"/>
        <w:rPr>
          <w:rFonts w:asciiTheme="majorHAnsi" w:hAnsiTheme="majorHAnsi" w:cstheme="majorHAnsi"/>
          <w:sz w:val="24"/>
          <w:szCs w:val="24"/>
          <w:lang w:val="en-US"/>
        </w:rPr>
      </w:pPr>
      <w:r w:rsidRPr="007B5D08">
        <w:rPr>
          <w:rFonts w:asciiTheme="majorHAnsi" w:hAnsiTheme="majorHAnsi" w:cstheme="majorHAnsi"/>
          <w:sz w:val="24"/>
          <w:szCs w:val="24"/>
          <w:lang w:val="en-US"/>
        </w:rPr>
        <w:lastRenderedPageBreak/>
        <w:t xml:space="preserve">It is important to note that when preparing class organization both the needs of the school and the primary class </w:t>
      </w:r>
      <w:r w:rsidR="00A1449D">
        <w:rPr>
          <w:rFonts w:asciiTheme="majorHAnsi" w:hAnsiTheme="majorHAnsi" w:cstheme="majorHAnsi"/>
          <w:sz w:val="24"/>
          <w:szCs w:val="24"/>
          <w:lang w:val="en-US"/>
        </w:rPr>
        <w:t xml:space="preserve">size </w:t>
      </w:r>
      <w:r w:rsidRPr="007B5D08">
        <w:rPr>
          <w:rFonts w:asciiTheme="majorHAnsi" w:hAnsiTheme="majorHAnsi" w:cstheme="majorHAnsi"/>
          <w:sz w:val="24"/>
          <w:szCs w:val="24"/>
          <w:lang w:val="en-US"/>
        </w:rPr>
        <w:t xml:space="preserve">requirements are taken into consideration. </w:t>
      </w:r>
      <w:r w:rsidR="00165FF5">
        <w:rPr>
          <w:rFonts w:asciiTheme="majorHAnsi" w:hAnsiTheme="majorHAnsi" w:cstheme="majorHAnsi"/>
          <w:sz w:val="24"/>
          <w:szCs w:val="24"/>
          <w:lang w:val="en-US"/>
        </w:rPr>
        <w:t xml:space="preserve">The charts below </w:t>
      </w:r>
      <w:r w:rsidR="00305711">
        <w:rPr>
          <w:rFonts w:asciiTheme="majorHAnsi" w:hAnsiTheme="majorHAnsi" w:cstheme="majorHAnsi"/>
          <w:sz w:val="24"/>
          <w:szCs w:val="24"/>
          <w:lang w:val="en-US"/>
        </w:rPr>
        <w:t>indicate</w:t>
      </w:r>
      <w:r w:rsidR="00165FF5">
        <w:rPr>
          <w:rFonts w:asciiTheme="majorHAnsi" w:hAnsiTheme="majorHAnsi" w:cstheme="majorHAnsi"/>
          <w:sz w:val="24"/>
          <w:szCs w:val="24"/>
          <w:lang w:val="en-US"/>
        </w:rPr>
        <w:t xml:space="preserve"> the current class size structure</w:t>
      </w:r>
      <w:r w:rsidR="00AE05D5">
        <w:rPr>
          <w:rFonts w:asciiTheme="majorHAnsi" w:hAnsiTheme="majorHAnsi" w:cstheme="majorHAnsi"/>
          <w:sz w:val="24"/>
          <w:szCs w:val="24"/>
          <w:lang w:val="en-US"/>
        </w:rPr>
        <w:t>.</w:t>
      </w:r>
    </w:p>
    <w:tbl>
      <w:tblPr>
        <w:tblW w:w="7040" w:type="dxa"/>
        <w:tblLook w:val="04A0" w:firstRow="1" w:lastRow="0" w:firstColumn="1" w:lastColumn="0" w:noHBand="0" w:noVBand="1"/>
      </w:tblPr>
      <w:tblGrid>
        <w:gridCol w:w="5600"/>
        <w:gridCol w:w="1440"/>
      </w:tblGrid>
      <w:tr w:rsidR="00CC0B4E" w:rsidRPr="00CC0B4E" w14:paraId="74672E3D" w14:textId="77777777" w:rsidTr="00CC0B4E">
        <w:trPr>
          <w:trHeight w:val="360"/>
        </w:trPr>
        <w:tc>
          <w:tcPr>
            <w:tcW w:w="5600" w:type="dxa"/>
            <w:tcBorders>
              <w:top w:val="nil"/>
              <w:left w:val="nil"/>
              <w:bottom w:val="nil"/>
              <w:right w:val="nil"/>
            </w:tcBorders>
            <w:shd w:val="clear" w:color="000000" w:fill="778899"/>
            <w:hideMark/>
          </w:tcPr>
          <w:p w14:paraId="0272972B" w14:textId="77777777" w:rsidR="00CC0B4E" w:rsidRPr="00CC0B4E" w:rsidRDefault="00CC0B4E" w:rsidP="00CC0B4E">
            <w:pPr>
              <w:pStyle w:val="NoSpacing"/>
              <w:rPr>
                <w:rFonts w:asciiTheme="majorHAnsi" w:hAnsiTheme="majorHAnsi" w:cstheme="majorHAnsi"/>
                <w:b/>
                <w:bCs/>
                <w:sz w:val="24"/>
                <w:szCs w:val="24"/>
              </w:rPr>
            </w:pPr>
            <w:r w:rsidRPr="00CC0B4E">
              <w:rPr>
                <w:rFonts w:asciiTheme="majorHAnsi" w:hAnsiTheme="majorHAnsi" w:cstheme="majorHAnsi"/>
                <w:b/>
                <w:bCs/>
                <w:sz w:val="24"/>
                <w:szCs w:val="24"/>
              </w:rPr>
              <w:t># of FDK/ELP Classes</w:t>
            </w:r>
          </w:p>
        </w:tc>
        <w:tc>
          <w:tcPr>
            <w:tcW w:w="1440" w:type="dxa"/>
            <w:tcBorders>
              <w:top w:val="nil"/>
              <w:left w:val="nil"/>
              <w:bottom w:val="nil"/>
              <w:right w:val="nil"/>
            </w:tcBorders>
            <w:shd w:val="clear" w:color="000000" w:fill="778899"/>
            <w:hideMark/>
          </w:tcPr>
          <w:p w14:paraId="011DEF04" w14:textId="77777777" w:rsidR="00CC0B4E" w:rsidRPr="00CC0B4E" w:rsidRDefault="00CC0B4E" w:rsidP="00CC0B4E">
            <w:pPr>
              <w:pStyle w:val="NoSpacing"/>
              <w:rPr>
                <w:rFonts w:asciiTheme="majorHAnsi" w:hAnsiTheme="majorHAnsi" w:cstheme="majorHAnsi"/>
                <w:sz w:val="24"/>
                <w:szCs w:val="24"/>
              </w:rPr>
            </w:pPr>
            <w:r w:rsidRPr="00CC0B4E">
              <w:rPr>
                <w:rFonts w:asciiTheme="majorHAnsi" w:hAnsiTheme="majorHAnsi" w:cstheme="majorHAnsi"/>
                <w:sz w:val="24"/>
                <w:szCs w:val="24"/>
              </w:rPr>
              <w:t> </w:t>
            </w:r>
          </w:p>
        </w:tc>
      </w:tr>
      <w:tr w:rsidR="00CC0B4E" w:rsidRPr="00CC0B4E" w14:paraId="5213C179" w14:textId="77777777" w:rsidTr="00CC0B4E">
        <w:trPr>
          <w:trHeight w:val="360"/>
        </w:trPr>
        <w:tc>
          <w:tcPr>
            <w:tcW w:w="5600" w:type="dxa"/>
            <w:tcBorders>
              <w:top w:val="single" w:sz="4" w:space="0" w:color="696969"/>
              <w:left w:val="single" w:sz="4" w:space="0" w:color="696969"/>
              <w:bottom w:val="single" w:sz="4" w:space="0" w:color="696969"/>
              <w:right w:val="single" w:sz="4" w:space="0" w:color="696969"/>
            </w:tcBorders>
            <w:shd w:val="clear" w:color="000000" w:fill="B0C4DE"/>
            <w:hideMark/>
          </w:tcPr>
          <w:p w14:paraId="3565DD6E" w14:textId="77777777" w:rsidR="00CC0B4E" w:rsidRPr="00CC0B4E" w:rsidRDefault="00CC0B4E" w:rsidP="00CC0B4E">
            <w:pPr>
              <w:pStyle w:val="NoSpacing"/>
              <w:rPr>
                <w:rFonts w:asciiTheme="majorHAnsi" w:hAnsiTheme="majorHAnsi" w:cstheme="majorHAnsi"/>
                <w:sz w:val="24"/>
                <w:szCs w:val="24"/>
              </w:rPr>
            </w:pPr>
            <w:r w:rsidRPr="00CC0B4E">
              <w:rPr>
                <w:rFonts w:asciiTheme="majorHAnsi" w:hAnsiTheme="majorHAnsi" w:cstheme="majorHAnsi"/>
                <w:sz w:val="24"/>
                <w:szCs w:val="24"/>
              </w:rPr>
              <w:t>15 and Under</w:t>
            </w:r>
          </w:p>
        </w:tc>
        <w:tc>
          <w:tcPr>
            <w:tcW w:w="1440" w:type="dxa"/>
            <w:tcBorders>
              <w:top w:val="single" w:sz="4" w:space="0" w:color="696969"/>
              <w:left w:val="nil"/>
              <w:bottom w:val="single" w:sz="4" w:space="0" w:color="696969"/>
              <w:right w:val="single" w:sz="4" w:space="0" w:color="696969"/>
            </w:tcBorders>
            <w:shd w:val="clear" w:color="auto" w:fill="auto"/>
            <w:hideMark/>
          </w:tcPr>
          <w:p w14:paraId="1FEC94C3" w14:textId="1E4E5A27" w:rsidR="00CC0B4E" w:rsidRPr="00CC0B4E" w:rsidRDefault="00334576" w:rsidP="00CC0B4E">
            <w:pPr>
              <w:pStyle w:val="NoSpacing"/>
              <w:jc w:val="center"/>
              <w:rPr>
                <w:rFonts w:asciiTheme="majorHAnsi" w:hAnsiTheme="majorHAnsi" w:cstheme="majorHAnsi"/>
                <w:sz w:val="24"/>
                <w:szCs w:val="24"/>
              </w:rPr>
            </w:pPr>
            <w:r>
              <w:rPr>
                <w:rFonts w:asciiTheme="majorHAnsi" w:hAnsiTheme="majorHAnsi" w:cstheme="majorHAnsi"/>
                <w:sz w:val="24"/>
                <w:szCs w:val="24"/>
              </w:rPr>
              <w:t>3</w:t>
            </w:r>
          </w:p>
        </w:tc>
      </w:tr>
      <w:tr w:rsidR="00CC0B4E" w:rsidRPr="00CC0B4E" w14:paraId="6455B39D" w14:textId="77777777" w:rsidTr="00CC0B4E">
        <w:trPr>
          <w:trHeight w:val="360"/>
        </w:trPr>
        <w:tc>
          <w:tcPr>
            <w:tcW w:w="5600" w:type="dxa"/>
            <w:tcBorders>
              <w:top w:val="single" w:sz="4" w:space="0" w:color="696969"/>
              <w:left w:val="single" w:sz="4" w:space="0" w:color="696969"/>
              <w:bottom w:val="single" w:sz="4" w:space="0" w:color="696969"/>
              <w:right w:val="single" w:sz="4" w:space="0" w:color="696969"/>
            </w:tcBorders>
            <w:shd w:val="clear" w:color="000000" w:fill="B0C4DE"/>
            <w:hideMark/>
          </w:tcPr>
          <w:p w14:paraId="5AF2277B" w14:textId="77777777" w:rsidR="00CC0B4E" w:rsidRPr="00CC0B4E" w:rsidRDefault="00CC0B4E" w:rsidP="00CC0B4E">
            <w:pPr>
              <w:pStyle w:val="NoSpacing"/>
              <w:rPr>
                <w:rFonts w:asciiTheme="majorHAnsi" w:hAnsiTheme="majorHAnsi" w:cstheme="majorHAnsi"/>
                <w:sz w:val="24"/>
                <w:szCs w:val="24"/>
              </w:rPr>
            </w:pPr>
            <w:r w:rsidRPr="00CC0B4E">
              <w:rPr>
                <w:rFonts w:asciiTheme="majorHAnsi" w:hAnsiTheme="majorHAnsi" w:cstheme="majorHAnsi"/>
                <w:sz w:val="24"/>
                <w:szCs w:val="24"/>
              </w:rPr>
              <w:t>16 to 20</w:t>
            </w:r>
          </w:p>
        </w:tc>
        <w:tc>
          <w:tcPr>
            <w:tcW w:w="1440" w:type="dxa"/>
            <w:tcBorders>
              <w:top w:val="nil"/>
              <w:left w:val="nil"/>
              <w:bottom w:val="single" w:sz="4" w:space="0" w:color="696969"/>
              <w:right w:val="single" w:sz="4" w:space="0" w:color="696969"/>
            </w:tcBorders>
            <w:shd w:val="clear" w:color="auto" w:fill="auto"/>
            <w:hideMark/>
          </w:tcPr>
          <w:p w14:paraId="16E18270" w14:textId="3AA0E3C4" w:rsidR="00CC0B4E" w:rsidRPr="00CC0B4E" w:rsidRDefault="00334576" w:rsidP="00CC0B4E">
            <w:pPr>
              <w:pStyle w:val="NoSpacing"/>
              <w:jc w:val="center"/>
              <w:rPr>
                <w:rFonts w:asciiTheme="majorHAnsi" w:hAnsiTheme="majorHAnsi" w:cstheme="majorHAnsi"/>
                <w:sz w:val="24"/>
                <w:szCs w:val="24"/>
              </w:rPr>
            </w:pPr>
            <w:r>
              <w:rPr>
                <w:rFonts w:asciiTheme="majorHAnsi" w:hAnsiTheme="majorHAnsi" w:cstheme="majorHAnsi"/>
                <w:sz w:val="24"/>
                <w:szCs w:val="24"/>
              </w:rPr>
              <w:t>13</w:t>
            </w:r>
          </w:p>
        </w:tc>
      </w:tr>
      <w:tr w:rsidR="00CC0B4E" w:rsidRPr="00CC0B4E" w14:paraId="6EA5F386" w14:textId="77777777" w:rsidTr="00CC0B4E">
        <w:trPr>
          <w:trHeight w:val="360"/>
        </w:trPr>
        <w:tc>
          <w:tcPr>
            <w:tcW w:w="5600" w:type="dxa"/>
            <w:tcBorders>
              <w:top w:val="single" w:sz="4" w:space="0" w:color="696969"/>
              <w:left w:val="single" w:sz="4" w:space="0" w:color="696969"/>
              <w:bottom w:val="single" w:sz="4" w:space="0" w:color="696969"/>
              <w:right w:val="single" w:sz="4" w:space="0" w:color="696969"/>
            </w:tcBorders>
            <w:shd w:val="clear" w:color="000000" w:fill="B0C4DE"/>
            <w:hideMark/>
          </w:tcPr>
          <w:p w14:paraId="46D87F54" w14:textId="77777777" w:rsidR="00CC0B4E" w:rsidRPr="00CC0B4E" w:rsidRDefault="00CC0B4E" w:rsidP="00CC0B4E">
            <w:pPr>
              <w:pStyle w:val="NoSpacing"/>
              <w:rPr>
                <w:rFonts w:asciiTheme="majorHAnsi" w:hAnsiTheme="majorHAnsi" w:cstheme="majorHAnsi"/>
                <w:sz w:val="24"/>
                <w:szCs w:val="24"/>
              </w:rPr>
            </w:pPr>
            <w:r w:rsidRPr="00CC0B4E">
              <w:rPr>
                <w:rFonts w:asciiTheme="majorHAnsi" w:hAnsiTheme="majorHAnsi" w:cstheme="majorHAnsi"/>
                <w:sz w:val="24"/>
                <w:szCs w:val="24"/>
              </w:rPr>
              <w:t>21 to 25</w:t>
            </w:r>
          </w:p>
        </w:tc>
        <w:tc>
          <w:tcPr>
            <w:tcW w:w="1440" w:type="dxa"/>
            <w:tcBorders>
              <w:top w:val="nil"/>
              <w:left w:val="nil"/>
              <w:bottom w:val="single" w:sz="4" w:space="0" w:color="696969"/>
              <w:right w:val="single" w:sz="4" w:space="0" w:color="696969"/>
            </w:tcBorders>
            <w:shd w:val="clear" w:color="auto" w:fill="auto"/>
            <w:hideMark/>
          </w:tcPr>
          <w:p w14:paraId="7A998591" w14:textId="6999751E" w:rsidR="00CC0B4E" w:rsidRPr="00CC0B4E" w:rsidRDefault="00CC0B4E" w:rsidP="00CC0B4E">
            <w:pPr>
              <w:pStyle w:val="NoSpacing"/>
              <w:jc w:val="center"/>
              <w:rPr>
                <w:rFonts w:asciiTheme="majorHAnsi" w:hAnsiTheme="majorHAnsi" w:cstheme="majorHAnsi"/>
                <w:sz w:val="24"/>
                <w:szCs w:val="24"/>
              </w:rPr>
            </w:pPr>
            <w:r w:rsidRPr="00CC0B4E">
              <w:rPr>
                <w:rFonts w:asciiTheme="majorHAnsi" w:hAnsiTheme="majorHAnsi" w:cstheme="majorHAnsi"/>
                <w:sz w:val="24"/>
                <w:szCs w:val="24"/>
              </w:rPr>
              <w:t>1</w:t>
            </w:r>
            <w:r w:rsidR="00334576">
              <w:rPr>
                <w:rFonts w:asciiTheme="majorHAnsi" w:hAnsiTheme="majorHAnsi" w:cstheme="majorHAnsi"/>
                <w:sz w:val="24"/>
                <w:szCs w:val="24"/>
              </w:rPr>
              <w:t>1</w:t>
            </w:r>
          </w:p>
        </w:tc>
      </w:tr>
      <w:tr w:rsidR="00CC0B4E" w:rsidRPr="00CC0B4E" w14:paraId="3BD420D3" w14:textId="77777777" w:rsidTr="00CC0B4E">
        <w:trPr>
          <w:trHeight w:val="360"/>
        </w:trPr>
        <w:tc>
          <w:tcPr>
            <w:tcW w:w="5600" w:type="dxa"/>
            <w:tcBorders>
              <w:top w:val="single" w:sz="4" w:space="0" w:color="696969"/>
              <w:left w:val="single" w:sz="4" w:space="0" w:color="696969"/>
              <w:bottom w:val="single" w:sz="4" w:space="0" w:color="696969"/>
              <w:right w:val="single" w:sz="4" w:space="0" w:color="696969"/>
            </w:tcBorders>
            <w:shd w:val="clear" w:color="000000" w:fill="B0C4DE"/>
            <w:hideMark/>
          </w:tcPr>
          <w:p w14:paraId="6F7C5297" w14:textId="77777777" w:rsidR="00CC0B4E" w:rsidRPr="00CC0B4E" w:rsidRDefault="00CC0B4E" w:rsidP="00CC0B4E">
            <w:pPr>
              <w:pStyle w:val="NoSpacing"/>
              <w:rPr>
                <w:rFonts w:asciiTheme="majorHAnsi" w:hAnsiTheme="majorHAnsi" w:cstheme="majorHAnsi"/>
                <w:sz w:val="24"/>
                <w:szCs w:val="24"/>
              </w:rPr>
            </w:pPr>
            <w:r w:rsidRPr="00CC0B4E">
              <w:rPr>
                <w:rFonts w:asciiTheme="majorHAnsi" w:hAnsiTheme="majorHAnsi" w:cstheme="majorHAnsi"/>
                <w:sz w:val="24"/>
                <w:szCs w:val="24"/>
              </w:rPr>
              <w:t>26</w:t>
            </w:r>
          </w:p>
        </w:tc>
        <w:tc>
          <w:tcPr>
            <w:tcW w:w="1440" w:type="dxa"/>
            <w:tcBorders>
              <w:top w:val="nil"/>
              <w:left w:val="nil"/>
              <w:bottom w:val="single" w:sz="4" w:space="0" w:color="696969"/>
              <w:right w:val="single" w:sz="4" w:space="0" w:color="696969"/>
            </w:tcBorders>
            <w:shd w:val="clear" w:color="auto" w:fill="auto"/>
            <w:hideMark/>
          </w:tcPr>
          <w:p w14:paraId="0F794EE3" w14:textId="044FAEBB" w:rsidR="00CC0B4E" w:rsidRPr="00CC0B4E" w:rsidRDefault="00334576" w:rsidP="00CC0B4E">
            <w:pPr>
              <w:pStyle w:val="NoSpacing"/>
              <w:jc w:val="center"/>
              <w:rPr>
                <w:rFonts w:asciiTheme="majorHAnsi" w:hAnsiTheme="majorHAnsi" w:cstheme="majorHAnsi"/>
                <w:sz w:val="24"/>
                <w:szCs w:val="24"/>
              </w:rPr>
            </w:pPr>
            <w:r>
              <w:rPr>
                <w:rFonts w:asciiTheme="majorHAnsi" w:hAnsiTheme="majorHAnsi" w:cstheme="majorHAnsi"/>
                <w:sz w:val="24"/>
                <w:szCs w:val="24"/>
              </w:rPr>
              <w:t>4</w:t>
            </w:r>
          </w:p>
        </w:tc>
      </w:tr>
      <w:tr w:rsidR="00CC0B4E" w:rsidRPr="00CC0B4E" w14:paraId="34F7BC68" w14:textId="77777777" w:rsidTr="00CC0B4E">
        <w:trPr>
          <w:trHeight w:val="360"/>
        </w:trPr>
        <w:tc>
          <w:tcPr>
            <w:tcW w:w="5600" w:type="dxa"/>
            <w:tcBorders>
              <w:top w:val="single" w:sz="4" w:space="0" w:color="696969"/>
              <w:left w:val="single" w:sz="4" w:space="0" w:color="696969"/>
              <w:bottom w:val="single" w:sz="4" w:space="0" w:color="696969"/>
              <w:right w:val="single" w:sz="4" w:space="0" w:color="696969"/>
            </w:tcBorders>
            <w:shd w:val="clear" w:color="000000" w:fill="B0C4DE"/>
            <w:hideMark/>
          </w:tcPr>
          <w:p w14:paraId="53FC07A2" w14:textId="77777777" w:rsidR="00CC0B4E" w:rsidRPr="00CC0B4E" w:rsidRDefault="00CC0B4E" w:rsidP="00CC0B4E">
            <w:pPr>
              <w:pStyle w:val="NoSpacing"/>
              <w:rPr>
                <w:rFonts w:asciiTheme="majorHAnsi" w:hAnsiTheme="majorHAnsi" w:cstheme="majorHAnsi"/>
                <w:sz w:val="24"/>
                <w:szCs w:val="24"/>
              </w:rPr>
            </w:pPr>
            <w:r w:rsidRPr="00CC0B4E">
              <w:rPr>
                <w:rFonts w:asciiTheme="majorHAnsi" w:hAnsiTheme="majorHAnsi" w:cstheme="majorHAnsi"/>
                <w:sz w:val="24"/>
                <w:szCs w:val="24"/>
              </w:rPr>
              <w:t>27 to 29</w:t>
            </w:r>
          </w:p>
        </w:tc>
        <w:tc>
          <w:tcPr>
            <w:tcW w:w="1440" w:type="dxa"/>
            <w:tcBorders>
              <w:top w:val="nil"/>
              <w:left w:val="nil"/>
              <w:bottom w:val="single" w:sz="4" w:space="0" w:color="696969"/>
              <w:right w:val="single" w:sz="4" w:space="0" w:color="696969"/>
            </w:tcBorders>
            <w:shd w:val="clear" w:color="auto" w:fill="auto"/>
            <w:hideMark/>
          </w:tcPr>
          <w:p w14:paraId="06BDA88C" w14:textId="2D5806C2" w:rsidR="00CC0B4E" w:rsidRPr="00CC0B4E" w:rsidRDefault="00863882" w:rsidP="00CC0B4E">
            <w:pPr>
              <w:pStyle w:val="NoSpacing"/>
              <w:jc w:val="center"/>
              <w:rPr>
                <w:rFonts w:asciiTheme="majorHAnsi" w:hAnsiTheme="majorHAnsi" w:cstheme="majorHAnsi"/>
                <w:sz w:val="24"/>
                <w:szCs w:val="24"/>
              </w:rPr>
            </w:pPr>
            <w:r>
              <w:rPr>
                <w:rFonts w:asciiTheme="majorHAnsi" w:hAnsiTheme="majorHAnsi" w:cstheme="majorHAnsi"/>
                <w:sz w:val="24"/>
                <w:szCs w:val="24"/>
              </w:rPr>
              <w:t>1</w:t>
            </w:r>
          </w:p>
        </w:tc>
      </w:tr>
      <w:tr w:rsidR="00CC0B4E" w:rsidRPr="00CC0B4E" w14:paraId="417E5BB4" w14:textId="77777777" w:rsidTr="00CC0B4E">
        <w:trPr>
          <w:trHeight w:val="360"/>
        </w:trPr>
        <w:tc>
          <w:tcPr>
            <w:tcW w:w="5600" w:type="dxa"/>
            <w:tcBorders>
              <w:top w:val="single" w:sz="4" w:space="0" w:color="696969"/>
              <w:left w:val="single" w:sz="4" w:space="0" w:color="696969"/>
              <w:bottom w:val="single" w:sz="4" w:space="0" w:color="696969"/>
              <w:right w:val="single" w:sz="4" w:space="0" w:color="696969"/>
            </w:tcBorders>
            <w:shd w:val="clear" w:color="000000" w:fill="B0C4DE"/>
            <w:hideMark/>
          </w:tcPr>
          <w:p w14:paraId="1F03A871" w14:textId="77777777" w:rsidR="00CC0B4E" w:rsidRPr="00CC0B4E" w:rsidRDefault="00CC0B4E" w:rsidP="00CC0B4E">
            <w:pPr>
              <w:pStyle w:val="NoSpacing"/>
              <w:rPr>
                <w:rFonts w:asciiTheme="majorHAnsi" w:hAnsiTheme="majorHAnsi" w:cstheme="majorHAnsi"/>
                <w:sz w:val="24"/>
                <w:szCs w:val="24"/>
              </w:rPr>
            </w:pPr>
            <w:r w:rsidRPr="00CC0B4E">
              <w:rPr>
                <w:rFonts w:asciiTheme="majorHAnsi" w:hAnsiTheme="majorHAnsi" w:cstheme="majorHAnsi"/>
                <w:sz w:val="24"/>
                <w:szCs w:val="24"/>
              </w:rPr>
              <w:t>Total</w:t>
            </w:r>
          </w:p>
        </w:tc>
        <w:tc>
          <w:tcPr>
            <w:tcW w:w="1440" w:type="dxa"/>
            <w:tcBorders>
              <w:top w:val="nil"/>
              <w:left w:val="nil"/>
              <w:bottom w:val="single" w:sz="4" w:space="0" w:color="696969"/>
              <w:right w:val="single" w:sz="4" w:space="0" w:color="696969"/>
            </w:tcBorders>
            <w:shd w:val="clear" w:color="auto" w:fill="auto"/>
            <w:hideMark/>
          </w:tcPr>
          <w:p w14:paraId="6A61B58A" w14:textId="77777777" w:rsidR="00CC0B4E" w:rsidRPr="00CC0B4E" w:rsidRDefault="00CC0B4E" w:rsidP="00CC0B4E">
            <w:pPr>
              <w:pStyle w:val="NoSpacing"/>
              <w:jc w:val="center"/>
              <w:rPr>
                <w:rFonts w:asciiTheme="majorHAnsi" w:hAnsiTheme="majorHAnsi" w:cstheme="majorHAnsi"/>
                <w:sz w:val="24"/>
                <w:szCs w:val="24"/>
              </w:rPr>
            </w:pPr>
            <w:r w:rsidRPr="00CC0B4E">
              <w:rPr>
                <w:rFonts w:asciiTheme="majorHAnsi" w:hAnsiTheme="majorHAnsi" w:cstheme="majorHAnsi"/>
                <w:sz w:val="24"/>
                <w:szCs w:val="24"/>
              </w:rPr>
              <w:t>32</w:t>
            </w:r>
          </w:p>
        </w:tc>
      </w:tr>
    </w:tbl>
    <w:p w14:paraId="0DD9ECA9" w14:textId="77777777" w:rsidR="001F05C3" w:rsidRDefault="00660106" w:rsidP="00660106">
      <w:pPr>
        <w:pStyle w:val="NoSpacing"/>
        <w:rPr>
          <w:rFonts w:asciiTheme="majorHAnsi" w:hAnsiTheme="majorHAnsi" w:cstheme="majorHAnsi"/>
          <w:sz w:val="24"/>
          <w:szCs w:val="24"/>
          <w:lang w:val="en-US"/>
        </w:rPr>
      </w:pPr>
      <w:r w:rsidRPr="007B5D08">
        <w:rPr>
          <w:rFonts w:asciiTheme="majorHAnsi" w:hAnsiTheme="majorHAnsi" w:cstheme="majorHAnsi"/>
          <w:sz w:val="24"/>
          <w:szCs w:val="24"/>
          <w:lang w:val="en-US"/>
        </w:rPr>
        <w:t xml:space="preserve"> </w:t>
      </w:r>
    </w:p>
    <w:tbl>
      <w:tblPr>
        <w:tblW w:w="7040" w:type="dxa"/>
        <w:tblLook w:val="04A0" w:firstRow="1" w:lastRow="0" w:firstColumn="1" w:lastColumn="0" w:noHBand="0" w:noVBand="1"/>
      </w:tblPr>
      <w:tblGrid>
        <w:gridCol w:w="5600"/>
        <w:gridCol w:w="1440"/>
      </w:tblGrid>
      <w:tr w:rsidR="001F05C3" w:rsidRPr="001F05C3" w14:paraId="50408CEF" w14:textId="77777777" w:rsidTr="001F05C3">
        <w:trPr>
          <w:trHeight w:val="360"/>
        </w:trPr>
        <w:tc>
          <w:tcPr>
            <w:tcW w:w="5600" w:type="dxa"/>
            <w:tcBorders>
              <w:top w:val="nil"/>
              <w:left w:val="nil"/>
              <w:bottom w:val="nil"/>
              <w:right w:val="nil"/>
            </w:tcBorders>
            <w:shd w:val="clear" w:color="000000" w:fill="778899"/>
            <w:hideMark/>
          </w:tcPr>
          <w:p w14:paraId="7C58CC88" w14:textId="77777777" w:rsidR="001F05C3" w:rsidRPr="001F05C3" w:rsidRDefault="001F05C3" w:rsidP="001F05C3">
            <w:pPr>
              <w:pStyle w:val="NoSpacing"/>
              <w:rPr>
                <w:rFonts w:asciiTheme="majorHAnsi" w:hAnsiTheme="majorHAnsi" w:cstheme="majorHAnsi"/>
                <w:b/>
                <w:bCs/>
                <w:sz w:val="24"/>
                <w:szCs w:val="24"/>
              </w:rPr>
            </w:pPr>
            <w:r w:rsidRPr="001F05C3">
              <w:rPr>
                <w:rFonts w:asciiTheme="majorHAnsi" w:hAnsiTheme="majorHAnsi" w:cstheme="majorHAnsi"/>
                <w:b/>
                <w:bCs/>
                <w:sz w:val="24"/>
                <w:szCs w:val="24"/>
              </w:rPr>
              <w:t># of Primary Classes</w:t>
            </w:r>
          </w:p>
        </w:tc>
        <w:tc>
          <w:tcPr>
            <w:tcW w:w="1440" w:type="dxa"/>
            <w:tcBorders>
              <w:top w:val="nil"/>
              <w:left w:val="nil"/>
              <w:bottom w:val="nil"/>
              <w:right w:val="nil"/>
            </w:tcBorders>
            <w:shd w:val="clear" w:color="000000" w:fill="778899"/>
            <w:hideMark/>
          </w:tcPr>
          <w:p w14:paraId="75AB85FF" w14:textId="77777777" w:rsidR="001F05C3" w:rsidRPr="001F05C3" w:rsidRDefault="001F05C3" w:rsidP="001F05C3">
            <w:pPr>
              <w:pStyle w:val="NoSpacing"/>
              <w:rPr>
                <w:rFonts w:asciiTheme="majorHAnsi" w:hAnsiTheme="majorHAnsi" w:cstheme="majorHAnsi"/>
                <w:sz w:val="24"/>
                <w:szCs w:val="24"/>
              </w:rPr>
            </w:pPr>
            <w:r w:rsidRPr="001F05C3">
              <w:rPr>
                <w:rFonts w:asciiTheme="majorHAnsi" w:hAnsiTheme="majorHAnsi" w:cstheme="majorHAnsi"/>
                <w:sz w:val="24"/>
                <w:szCs w:val="24"/>
              </w:rPr>
              <w:t> </w:t>
            </w:r>
          </w:p>
        </w:tc>
      </w:tr>
      <w:tr w:rsidR="001F05C3" w:rsidRPr="001F05C3" w14:paraId="2A50927B" w14:textId="77777777" w:rsidTr="001F05C3">
        <w:trPr>
          <w:trHeight w:val="360"/>
        </w:trPr>
        <w:tc>
          <w:tcPr>
            <w:tcW w:w="5600" w:type="dxa"/>
            <w:tcBorders>
              <w:top w:val="single" w:sz="4" w:space="0" w:color="696969"/>
              <w:left w:val="single" w:sz="4" w:space="0" w:color="696969"/>
              <w:bottom w:val="single" w:sz="4" w:space="0" w:color="696969"/>
              <w:right w:val="single" w:sz="4" w:space="0" w:color="696969"/>
            </w:tcBorders>
            <w:shd w:val="clear" w:color="000000" w:fill="B0C4DE"/>
            <w:hideMark/>
          </w:tcPr>
          <w:p w14:paraId="576B8C0F" w14:textId="77777777" w:rsidR="001F05C3" w:rsidRPr="001F05C3" w:rsidRDefault="001F05C3" w:rsidP="001F05C3">
            <w:pPr>
              <w:pStyle w:val="NoSpacing"/>
              <w:rPr>
                <w:rFonts w:asciiTheme="majorHAnsi" w:hAnsiTheme="majorHAnsi" w:cstheme="majorHAnsi"/>
                <w:sz w:val="24"/>
                <w:szCs w:val="24"/>
              </w:rPr>
            </w:pPr>
            <w:r w:rsidRPr="001F05C3">
              <w:rPr>
                <w:rFonts w:asciiTheme="majorHAnsi" w:hAnsiTheme="majorHAnsi" w:cstheme="majorHAnsi"/>
                <w:sz w:val="24"/>
                <w:szCs w:val="24"/>
              </w:rPr>
              <w:t>20 and Under</w:t>
            </w:r>
          </w:p>
        </w:tc>
        <w:tc>
          <w:tcPr>
            <w:tcW w:w="1440" w:type="dxa"/>
            <w:tcBorders>
              <w:top w:val="single" w:sz="4" w:space="0" w:color="696969"/>
              <w:left w:val="nil"/>
              <w:bottom w:val="single" w:sz="4" w:space="0" w:color="696969"/>
              <w:right w:val="single" w:sz="4" w:space="0" w:color="696969"/>
            </w:tcBorders>
            <w:shd w:val="clear" w:color="auto" w:fill="auto"/>
            <w:hideMark/>
          </w:tcPr>
          <w:p w14:paraId="53E8F01E" w14:textId="77777777" w:rsidR="001F05C3" w:rsidRPr="001F05C3" w:rsidRDefault="001F05C3" w:rsidP="001F05C3">
            <w:pPr>
              <w:pStyle w:val="NoSpacing"/>
              <w:jc w:val="center"/>
              <w:rPr>
                <w:rFonts w:asciiTheme="majorHAnsi" w:hAnsiTheme="majorHAnsi" w:cstheme="majorHAnsi"/>
                <w:sz w:val="24"/>
                <w:szCs w:val="24"/>
              </w:rPr>
            </w:pPr>
            <w:r w:rsidRPr="001F05C3">
              <w:rPr>
                <w:rFonts w:asciiTheme="majorHAnsi" w:hAnsiTheme="majorHAnsi" w:cstheme="majorHAnsi"/>
                <w:sz w:val="24"/>
                <w:szCs w:val="24"/>
              </w:rPr>
              <w:t>58</w:t>
            </w:r>
          </w:p>
        </w:tc>
      </w:tr>
      <w:tr w:rsidR="001F05C3" w:rsidRPr="001F05C3" w14:paraId="511B49BA" w14:textId="77777777" w:rsidTr="001F05C3">
        <w:trPr>
          <w:trHeight w:val="360"/>
        </w:trPr>
        <w:tc>
          <w:tcPr>
            <w:tcW w:w="5600" w:type="dxa"/>
            <w:tcBorders>
              <w:top w:val="single" w:sz="4" w:space="0" w:color="696969"/>
              <w:left w:val="single" w:sz="4" w:space="0" w:color="696969"/>
              <w:bottom w:val="single" w:sz="4" w:space="0" w:color="696969"/>
              <w:right w:val="single" w:sz="4" w:space="0" w:color="696969"/>
            </w:tcBorders>
            <w:shd w:val="clear" w:color="000000" w:fill="B0C4DE"/>
            <w:hideMark/>
          </w:tcPr>
          <w:p w14:paraId="70103B84" w14:textId="77777777" w:rsidR="001F05C3" w:rsidRPr="001F05C3" w:rsidRDefault="001F05C3" w:rsidP="001F05C3">
            <w:pPr>
              <w:pStyle w:val="NoSpacing"/>
              <w:rPr>
                <w:rFonts w:asciiTheme="majorHAnsi" w:hAnsiTheme="majorHAnsi" w:cstheme="majorHAnsi"/>
                <w:sz w:val="24"/>
                <w:szCs w:val="24"/>
              </w:rPr>
            </w:pPr>
            <w:r w:rsidRPr="001F05C3">
              <w:rPr>
                <w:rFonts w:asciiTheme="majorHAnsi" w:hAnsiTheme="majorHAnsi" w:cstheme="majorHAnsi"/>
                <w:sz w:val="24"/>
                <w:szCs w:val="24"/>
              </w:rPr>
              <w:t>22</w:t>
            </w:r>
          </w:p>
        </w:tc>
        <w:tc>
          <w:tcPr>
            <w:tcW w:w="1440" w:type="dxa"/>
            <w:tcBorders>
              <w:top w:val="nil"/>
              <w:left w:val="nil"/>
              <w:bottom w:val="single" w:sz="4" w:space="0" w:color="696969"/>
              <w:right w:val="single" w:sz="4" w:space="0" w:color="696969"/>
            </w:tcBorders>
            <w:shd w:val="clear" w:color="auto" w:fill="auto"/>
            <w:hideMark/>
          </w:tcPr>
          <w:p w14:paraId="39C8380E" w14:textId="40B30072" w:rsidR="001F05C3" w:rsidRPr="001F05C3" w:rsidRDefault="00863882" w:rsidP="001F05C3">
            <w:pPr>
              <w:pStyle w:val="NoSpacing"/>
              <w:jc w:val="center"/>
              <w:rPr>
                <w:rFonts w:asciiTheme="majorHAnsi" w:hAnsiTheme="majorHAnsi" w:cstheme="majorHAnsi"/>
                <w:sz w:val="24"/>
                <w:szCs w:val="24"/>
              </w:rPr>
            </w:pPr>
            <w:r>
              <w:rPr>
                <w:rFonts w:asciiTheme="majorHAnsi" w:hAnsiTheme="majorHAnsi" w:cstheme="majorHAnsi"/>
                <w:sz w:val="24"/>
                <w:szCs w:val="24"/>
              </w:rPr>
              <w:t>3</w:t>
            </w:r>
          </w:p>
        </w:tc>
      </w:tr>
      <w:tr w:rsidR="001F05C3" w:rsidRPr="001F05C3" w14:paraId="66D0D6FC" w14:textId="77777777" w:rsidTr="001F05C3">
        <w:trPr>
          <w:trHeight w:val="360"/>
        </w:trPr>
        <w:tc>
          <w:tcPr>
            <w:tcW w:w="5600" w:type="dxa"/>
            <w:tcBorders>
              <w:top w:val="single" w:sz="4" w:space="0" w:color="696969"/>
              <w:left w:val="single" w:sz="4" w:space="0" w:color="696969"/>
              <w:bottom w:val="single" w:sz="4" w:space="0" w:color="696969"/>
              <w:right w:val="single" w:sz="4" w:space="0" w:color="696969"/>
            </w:tcBorders>
            <w:shd w:val="clear" w:color="000000" w:fill="B0C4DE"/>
            <w:hideMark/>
          </w:tcPr>
          <w:p w14:paraId="1EE839D7" w14:textId="77777777" w:rsidR="001F05C3" w:rsidRPr="001F05C3" w:rsidRDefault="001F05C3" w:rsidP="001F05C3">
            <w:pPr>
              <w:pStyle w:val="NoSpacing"/>
              <w:rPr>
                <w:rFonts w:asciiTheme="majorHAnsi" w:hAnsiTheme="majorHAnsi" w:cstheme="majorHAnsi"/>
                <w:sz w:val="24"/>
                <w:szCs w:val="24"/>
              </w:rPr>
            </w:pPr>
            <w:r w:rsidRPr="001F05C3">
              <w:rPr>
                <w:rFonts w:asciiTheme="majorHAnsi" w:hAnsiTheme="majorHAnsi" w:cstheme="majorHAnsi"/>
                <w:sz w:val="24"/>
                <w:szCs w:val="24"/>
              </w:rPr>
              <w:t>Total</w:t>
            </w:r>
          </w:p>
        </w:tc>
        <w:tc>
          <w:tcPr>
            <w:tcW w:w="1440" w:type="dxa"/>
            <w:tcBorders>
              <w:top w:val="nil"/>
              <w:left w:val="nil"/>
              <w:bottom w:val="single" w:sz="4" w:space="0" w:color="696969"/>
              <w:right w:val="single" w:sz="4" w:space="0" w:color="696969"/>
            </w:tcBorders>
            <w:shd w:val="clear" w:color="auto" w:fill="auto"/>
            <w:hideMark/>
          </w:tcPr>
          <w:p w14:paraId="4DFFBBB4" w14:textId="5A3A9F70" w:rsidR="001F05C3" w:rsidRPr="001F05C3" w:rsidRDefault="001F05C3" w:rsidP="001F05C3">
            <w:pPr>
              <w:pStyle w:val="NoSpacing"/>
              <w:jc w:val="center"/>
              <w:rPr>
                <w:rFonts w:asciiTheme="majorHAnsi" w:hAnsiTheme="majorHAnsi" w:cstheme="majorHAnsi"/>
                <w:sz w:val="24"/>
                <w:szCs w:val="24"/>
              </w:rPr>
            </w:pPr>
            <w:r w:rsidRPr="001F05C3">
              <w:rPr>
                <w:rFonts w:asciiTheme="majorHAnsi" w:hAnsiTheme="majorHAnsi" w:cstheme="majorHAnsi"/>
                <w:sz w:val="24"/>
                <w:szCs w:val="24"/>
              </w:rPr>
              <w:t>6</w:t>
            </w:r>
            <w:r w:rsidR="00863882">
              <w:rPr>
                <w:rFonts w:asciiTheme="majorHAnsi" w:hAnsiTheme="majorHAnsi" w:cstheme="majorHAnsi"/>
                <w:sz w:val="24"/>
                <w:szCs w:val="24"/>
              </w:rPr>
              <w:t>1</w:t>
            </w:r>
          </w:p>
        </w:tc>
      </w:tr>
    </w:tbl>
    <w:p w14:paraId="549BFCB6" w14:textId="3BC84A5F" w:rsidR="00226A93" w:rsidRDefault="00226A93" w:rsidP="00660106">
      <w:pPr>
        <w:pStyle w:val="NoSpacing"/>
        <w:rPr>
          <w:rFonts w:asciiTheme="majorHAnsi" w:hAnsiTheme="majorHAnsi" w:cstheme="majorHAnsi"/>
          <w:sz w:val="24"/>
          <w:szCs w:val="24"/>
          <w:lang w:val="en-US"/>
        </w:rPr>
      </w:pPr>
    </w:p>
    <w:tbl>
      <w:tblPr>
        <w:tblW w:w="7040" w:type="dxa"/>
        <w:tblLook w:val="04A0" w:firstRow="1" w:lastRow="0" w:firstColumn="1" w:lastColumn="0" w:noHBand="0" w:noVBand="1"/>
      </w:tblPr>
      <w:tblGrid>
        <w:gridCol w:w="5600"/>
        <w:gridCol w:w="1440"/>
      </w:tblGrid>
      <w:tr w:rsidR="00536C92" w:rsidRPr="00536C92" w14:paraId="23C0A131" w14:textId="77777777" w:rsidTr="00536C92">
        <w:trPr>
          <w:trHeight w:val="360"/>
        </w:trPr>
        <w:tc>
          <w:tcPr>
            <w:tcW w:w="5600" w:type="dxa"/>
            <w:tcBorders>
              <w:top w:val="nil"/>
              <w:left w:val="nil"/>
              <w:bottom w:val="nil"/>
              <w:right w:val="nil"/>
            </w:tcBorders>
            <w:shd w:val="clear" w:color="000000" w:fill="778899"/>
            <w:hideMark/>
          </w:tcPr>
          <w:p w14:paraId="3ED26C18" w14:textId="77777777" w:rsidR="00536C92" w:rsidRPr="00536C92" w:rsidRDefault="00536C92" w:rsidP="00536C92">
            <w:pPr>
              <w:pStyle w:val="NoSpacing"/>
              <w:rPr>
                <w:rFonts w:asciiTheme="majorHAnsi" w:hAnsiTheme="majorHAnsi" w:cstheme="majorHAnsi"/>
                <w:b/>
                <w:bCs/>
                <w:sz w:val="24"/>
                <w:szCs w:val="24"/>
              </w:rPr>
            </w:pPr>
            <w:r w:rsidRPr="00536C92">
              <w:rPr>
                <w:rFonts w:asciiTheme="majorHAnsi" w:hAnsiTheme="majorHAnsi" w:cstheme="majorHAnsi"/>
                <w:b/>
                <w:bCs/>
                <w:sz w:val="24"/>
                <w:szCs w:val="24"/>
              </w:rPr>
              <w:t># Grade 3/4 Combined Classes</w:t>
            </w:r>
          </w:p>
        </w:tc>
        <w:tc>
          <w:tcPr>
            <w:tcW w:w="1440" w:type="dxa"/>
            <w:tcBorders>
              <w:top w:val="nil"/>
              <w:left w:val="nil"/>
              <w:bottom w:val="nil"/>
              <w:right w:val="nil"/>
            </w:tcBorders>
            <w:shd w:val="clear" w:color="000000" w:fill="778899"/>
            <w:hideMark/>
          </w:tcPr>
          <w:p w14:paraId="2989BA66" w14:textId="77777777" w:rsidR="00536C92" w:rsidRPr="00536C92" w:rsidRDefault="00536C92" w:rsidP="00536C92">
            <w:pPr>
              <w:pStyle w:val="NoSpacing"/>
              <w:rPr>
                <w:rFonts w:asciiTheme="majorHAnsi" w:hAnsiTheme="majorHAnsi" w:cstheme="majorHAnsi"/>
                <w:sz w:val="24"/>
                <w:szCs w:val="24"/>
              </w:rPr>
            </w:pPr>
            <w:r w:rsidRPr="00536C92">
              <w:rPr>
                <w:rFonts w:asciiTheme="majorHAnsi" w:hAnsiTheme="majorHAnsi" w:cstheme="majorHAnsi"/>
                <w:sz w:val="24"/>
                <w:szCs w:val="24"/>
              </w:rPr>
              <w:t> </w:t>
            </w:r>
          </w:p>
        </w:tc>
      </w:tr>
      <w:tr w:rsidR="00536C92" w:rsidRPr="00536C92" w14:paraId="079C46C0" w14:textId="77777777" w:rsidTr="00536C92">
        <w:trPr>
          <w:trHeight w:val="360"/>
        </w:trPr>
        <w:tc>
          <w:tcPr>
            <w:tcW w:w="5600" w:type="dxa"/>
            <w:tcBorders>
              <w:top w:val="single" w:sz="4" w:space="0" w:color="696969"/>
              <w:left w:val="single" w:sz="4" w:space="0" w:color="696969"/>
              <w:bottom w:val="single" w:sz="4" w:space="0" w:color="696969"/>
              <w:right w:val="single" w:sz="4" w:space="0" w:color="696969"/>
            </w:tcBorders>
            <w:shd w:val="clear" w:color="000000" w:fill="B0C4DE"/>
            <w:hideMark/>
          </w:tcPr>
          <w:p w14:paraId="2FF488E1" w14:textId="77777777" w:rsidR="00536C92" w:rsidRPr="00536C92" w:rsidRDefault="00536C92" w:rsidP="00536C92">
            <w:pPr>
              <w:pStyle w:val="NoSpacing"/>
              <w:rPr>
                <w:rFonts w:asciiTheme="majorHAnsi" w:hAnsiTheme="majorHAnsi" w:cstheme="majorHAnsi"/>
                <w:sz w:val="24"/>
                <w:szCs w:val="24"/>
              </w:rPr>
            </w:pPr>
            <w:r w:rsidRPr="00536C92">
              <w:rPr>
                <w:rFonts w:asciiTheme="majorHAnsi" w:hAnsiTheme="majorHAnsi" w:cstheme="majorHAnsi"/>
                <w:sz w:val="24"/>
                <w:szCs w:val="24"/>
              </w:rPr>
              <w:t>20 and under</w:t>
            </w:r>
          </w:p>
        </w:tc>
        <w:tc>
          <w:tcPr>
            <w:tcW w:w="1440" w:type="dxa"/>
            <w:tcBorders>
              <w:top w:val="single" w:sz="4" w:space="0" w:color="696969"/>
              <w:left w:val="nil"/>
              <w:bottom w:val="single" w:sz="4" w:space="0" w:color="696969"/>
              <w:right w:val="single" w:sz="4" w:space="0" w:color="696969"/>
            </w:tcBorders>
            <w:shd w:val="clear" w:color="auto" w:fill="auto"/>
            <w:hideMark/>
          </w:tcPr>
          <w:p w14:paraId="5333DC6E" w14:textId="0808DEEF" w:rsidR="00536C92" w:rsidRPr="00536C92" w:rsidRDefault="00A14BBD" w:rsidP="00536C92">
            <w:pPr>
              <w:pStyle w:val="NoSpacing"/>
              <w:jc w:val="center"/>
              <w:rPr>
                <w:rFonts w:asciiTheme="majorHAnsi" w:hAnsiTheme="majorHAnsi" w:cstheme="majorHAnsi"/>
                <w:sz w:val="24"/>
                <w:szCs w:val="24"/>
              </w:rPr>
            </w:pPr>
            <w:r>
              <w:rPr>
                <w:rFonts w:asciiTheme="majorHAnsi" w:hAnsiTheme="majorHAnsi" w:cstheme="majorHAnsi"/>
                <w:sz w:val="24"/>
                <w:szCs w:val="24"/>
              </w:rPr>
              <w:t>5</w:t>
            </w:r>
          </w:p>
        </w:tc>
      </w:tr>
      <w:tr w:rsidR="00536C92" w:rsidRPr="00536C92" w14:paraId="414659FD" w14:textId="77777777" w:rsidTr="00536C92">
        <w:trPr>
          <w:trHeight w:val="360"/>
        </w:trPr>
        <w:tc>
          <w:tcPr>
            <w:tcW w:w="5600" w:type="dxa"/>
            <w:tcBorders>
              <w:top w:val="single" w:sz="4" w:space="0" w:color="696969"/>
              <w:left w:val="single" w:sz="4" w:space="0" w:color="696969"/>
              <w:bottom w:val="single" w:sz="4" w:space="0" w:color="696969"/>
              <w:right w:val="single" w:sz="4" w:space="0" w:color="696969"/>
            </w:tcBorders>
            <w:shd w:val="clear" w:color="000000" w:fill="B0C4DE"/>
            <w:hideMark/>
          </w:tcPr>
          <w:p w14:paraId="1152DE9D" w14:textId="77777777" w:rsidR="00536C92" w:rsidRPr="00536C92" w:rsidRDefault="00536C92" w:rsidP="00536C92">
            <w:pPr>
              <w:pStyle w:val="NoSpacing"/>
              <w:rPr>
                <w:rFonts w:asciiTheme="majorHAnsi" w:hAnsiTheme="majorHAnsi" w:cstheme="majorHAnsi"/>
                <w:sz w:val="24"/>
                <w:szCs w:val="24"/>
              </w:rPr>
            </w:pPr>
            <w:r w:rsidRPr="00536C92">
              <w:rPr>
                <w:rFonts w:asciiTheme="majorHAnsi" w:hAnsiTheme="majorHAnsi" w:cstheme="majorHAnsi"/>
                <w:sz w:val="24"/>
                <w:szCs w:val="24"/>
              </w:rPr>
              <w:t>21</w:t>
            </w:r>
          </w:p>
        </w:tc>
        <w:tc>
          <w:tcPr>
            <w:tcW w:w="1440" w:type="dxa"/>
            <w:tcBorders>
              <w:top w:val="single" w:sz="4" w:space="0" w:color="696969"/>
              <w:left w:val="nil"/>
              <w:bottom w:val="single" w:sz="4" w:space="0" w:color="696969"/>
              <w:right w:val="single" w:sz="4" w:space="0" w:color="696969"/>
            </w:tcBorders>
            <w:shd w:val="clear" w:color="auto" w:fill="auto"/>
            <w:hideMark/>
          </w:tcPr>
          <w:p w14:paraId="3332DC9E" w14:textId="29AE7A5B" w:rsidR="00536C92" w:rsidRPr="00536C92" w:rsidRDefault="00A14BBD" w:rsidP="00536C92">
            <w:pPr>
              <w:pStyle w:val="NoSpacing"/>
              <w:jc w:val="center"/>
              <w:rPr>
                <w:rFonts w:asciiTheme="majorHAnsi" w:hAnsiTheme="majorHAnsi" w:cstheme="majorHAnsi"/>
                <w:sz w:val="24"/>
                <w:szCs w:val="24"/>
              </w:rPr>
            </w:pPr>
            <w:r>
              <w:rPr>
                <w:rFonts w:asciiTheme="majorHAnsi" w:hAnsiTheme="majorHAnsi" w:cstheme="majorHAnsi"/>
                <w:sz w:val="24"/>
                <w:szCs w:val="24"/>
              </w:rPr>
              <w:t>2</w:t>
            </w:r>
          </w:p>
        </w:tc>
      </w:tr>
      <w:tr w:rsidR="00536C92" w:rsidRPr="00536C92" w14:paraId="26668F76" w14:textId="77777777" w:rsidTr="00536C92">
        <w:trPr>
          <w:trHeight w:val="360"/>
        </w:trPr>
        <w:tc>
          <w:tcPr>
            <w:tcW w:w="5600" w:type="dxa"/>
            <w:tcBorders>
              <w:top w:val="single" w:sz="4" w:space="0" w:color="696969"/>
              <w:left w:val="single" w:sz="4" w:space="0" w:color="696969"/>
              <w:bottom w:val="single" w:sz="4" w:space="0" w:color="696969"/>
              <w:right w:val="single" w:sz="4" w:space="0" w:color="696969"/>
            </w:tcBorders>
            <w:shd w:val="clear" w:color="000000" w:fill="B0C4DE"/>
            <w:hideMark/>
          </w:tcPr>
          <w:p w14:paraId="42F7086A" w14:textId="77777777" w:rsidR="00536C92" w:rsidRPr="00536C92" w:rsidRDefault="00536C92" w:rsidP="00536C92">
            <w:pPr>
              <w:pStyle w:val="NoSpacing"/>
              <w:rPr>
                <w:rFonts w:asciiTheme="majorHAnsi" w:hAnsiTheme="majorHAnsi" w:cstheme="majorHAnsi"/>
                <w:sz w:val="24"/>
                <w:szCs w:val="24"/>
              </w:rPr>
            </w:pPr>
            <w:r w:rsidRPr="00536C92">
              <w:rPr>
                <w:rFonts w:asciiTheme="majorHAnsi" w:hAnsiTheme="majorHAnsi" w:cstheme="majorHAnsi"/>
                <w:sz w:val="24"/>
                <w:szCs w:val="24"/>
              </w:rPr>
              <w:t>22</w:t>
            </w:r>
          </w:p>
        </w:tc>
        <w:tc>
          <w:tcPr>
            <w:tcW w:w="1440" w:type="dxa"/>
            <w:tcBorders>
              <w:top w:val="single" w:sz="4" w:space="0" w:color="696969"/>
              <w:left w:val="nil"/>
              <w:bottom w:val="single" w:sz="4" w:space="0" w:color="696969"/>
              <w:right w:val="single" w:sz="4" w:space="0" w:color="696969"/>
            </w:tcBorders>
            <w:shd w:val="clear" w:color="auto" w:fill="auto"/>
            <w:hideMark/>
          </w:tcPr>
          <w:p w14:paraId="1A0AAB9E" w14:textId="77777777" w:rsidR="00536C92" w:rsidRPr="00536C92" w:rsidRDefault="00536C92" w:rsidP="00536C92">
            <w:pPr>
              <w:pStyle w:val="NoSpacing"/>
              <w:jc w:val="center"/>
              <w:rPr>
                <w:rFonts w:asciiTheme="majorHAnsi" w:hAnsiTheme="majorHAnsi" w:cstheme="majorHAnsi"/>
                <w:sz w:val="24"/>
                <w:szCs w:val="24"/>
              </w:rPr>
            </w:pPr>
            <w:r w:rsidRPr="00536C92">
              <w:rPr>
                <w:rFonts w:asciiTheme="majorHAnsi" w:hAnsiTheme="majorHAnsi" w:cstheme="majorHAnsi"/>
                <w:sz w:val="24"/>
                <w:szCs w:val="24"/>
              </w:rPr>
              <w:t>1</w:t>
            </w:r>
          </w:p>
        </w:tc>
      </w:tr>
      <w:tr w:rsidR="00536C92" w:rsidRPr="00536C92" w14:paraId="3DB5E527" w14:textId="77777777" w:rsidTr="00536C92">
        <w:trPr>
          <w:trHeight w:val="360"/>
        </w:trPr>
        <w:tc>
          <w:tcPr>
            <w:tcW w:w="5600" w:type="dxa"/>
            <w:tcBorders>
              <w:top w:val="single" w:sz="4" w:space="0" w:color="696969"/>
              <w:left w:val="single" w:sz="4" w:space="0" w:color="696969"/>
              <w:bottom w:val="single" w:sz="4" w:space="0" w:color="696969"/>
              <w:right w:val="single" w:sz="4" w:space="0" w:color="696969"/>
            </w:tcBorders>
            <w:shd w:val="clear" w:color="000000" w:fill="B0C4DE"/>
            <w:hideMark/>
          </w:tcPr>
          <w:p w14:paraId="479A6B26" w14:textId="77777777" w:rsidR="00536C92" w:rsidRPr="00536C92" w:rsidRDefault="00536C92" w:rsidP="00536C92">
            <w:pPr>
              <w:pStyle w:val="NoSpacing"/>
              <w:rPr>
                <w:rFonts w:asciiTheme="majorHAnsi" w:hAnsiTheme="majorHAnsi" w:cstheme="majorHAnsi"/>
                <w:sz w:val="24"/>
                <w:szCs w:val="24"/>
              </w:rPr>
            </w:pPr>
            <w:r w:rsidRPr="00536C92">
              <w:rPr>
                <w:rFonts w:asciiTheme="majorHAnsi" w:hAnsiTheme="majorHAnsi" w:cstheme="majorHAnsi"/>
                <w:sz w:val="24"/>
                <w:szCs w:val="24"/>
              </w:rPr>
              <w:t>23</w:t>
            </w:r>
          </w:p>
        </w:tc>
        <w:tc>
          <w:tcPr>
            <w:tcW w:w="1440" w:type="dxa"/>
            <w:tcBorders>
              <w:top w:val="single" w:sz="4" w:space="0" w:color="696969"/>
              <w:left w:val="nil"/>
              <w:bottom w:val="single" w:sz="4" w:space="0" w:color="696969"/>
              <w:right w:val="single" w:sz="4" w:space="0" w:color="696969"/>
            </w:tcBorders>
            <w:shd w:val="clear" w:color="auto" w:fill="auto"/>
            <w:hideMark/>
          </w:tcPr>
          <w:p w14:paraId="0A0D5D03" w14:textId="580E0EA5" w:rsidR="00536C92" w:rsidRPr="00536C92" w:rsidRDefault="00A14BBD" w:rsidP="00536C92">
            <w:pPr>
              <w:pStyle w:val="NoSpacing"/>
              <w:jc w:val="center"/>
              <w:rPr>
                <w:rFonts w:asciiTheme="majorHAnsi" w:hAnsiTheme="majorHAnsi" w:cstheme="majorHAnsi"/>
                <w:sz w:val="24"/>
                <w:szCs w:val="24"/>
              </w:rPr>
            </w:pPr>
            <w:r>
              <w:rPr>
                <w:rFonts w:asciiTheme="majorHAnsi" w:hAnsiTheme="majorHAnsi" w:cstheme="majorHAnsi"/>
                <w:sz w:val="24"/>
                <w:szCs w:val="24"/>
              </w:rPr>
              <w:t>9</w:t>
            </w:r>
          </w:p>
        </w:tc>
      </w:tr>
      <w:tr w:rsidR="00536C92" w:rsidRPr="00536C92" w14:paraId="23F7A540" w14:textId="77777777" w:rsidTr="00536C92">
        <w:trPr>
          <w:trHeight w:val="360"/>
        </w:trPr>
        <w:tc>
          <w:tcPr>
            <w:tcW w:w="5600" w:type="dxa"/>
            <w:tcBorders>
              <w:top w:val="single" w:sz="4" w:space="0" w:color="696969"/>
              <w:left w:val="single" w:sz="4" w:space="0" w:color="696969"/>
              <w:bottom w:val="single" w:sz="4" w:space="0" w:color="696969"/>
              <w:right w:val="single" w:sz="4" w:space="0" w:color="696969"/>
            </w:tcBorders>
            <w:shd w:val="clear" w:color="000000" w:fill="B0C4DE"/>
            <w:hideMark/>
          </w:tcPr>
          <w:p w14:paraId="0624D154" w14:textId="77777777" w:rsidR="00536C92" w:rsidRPr="00536C92" w:rsidRDefault="00536C92" w:rsidP="00536C92">
            <w:pPr>
              <w:pStyle w:val="NoSpacing"/>
              <w:rPr>
                <w:rFonts w:asciiTheme="majorHAnsi" w:hAnsiTheme="majorHAnsi" w:cstheme="majorHAnsi"/>
                <w:sz w:val="24"/>
                <w:szCs w:val="24"/>
              </w:rPr>
            </w:pPr>
            <w:r w:rsidRPr="00536C92">
              <w:rPr>
                <w:rFonts w:asciiTheme="majorHAnsi" w:hAnsiTheme="majorHAnsi" w:cstheme="majorHAnsi"/>
                <w:sz w:val="24"/>
                <w:szCs w:val="24"/>
              </w:rPr>
              <w:t>Total</w:t>
            </w:r>
          </w:p>
        </w:tc>
        <w:tc>
          <w:tcPr>
            <w:tcW w:w="1440" w:type="dxa"/>
            <w:tcBorders>
              <w:top w:val="single" w:sz="4" w:space="0" w:color="696969"/>
              <w:left w:val="nil"/>
              <w:bottom w:val="single" w:sz="4" w:space="0" w:color="696969"/>
              <w:right w:val="single" w:sz="4" w:space="0" w:color="696969"/>
            </w:tcBorders>
            <w:shd w:val="clear" w:color="auto" w:fill="auto"/>
            <w:hideMark/>
          </w:tcPr>
          <w:p w14:paraId="4D7F33EB" w14:textId="004FF75A" w:rsidR="00536C92" w:rsidRPr="00536C92" w:rsidRDefault="00536C92" w:rsidP="00536C92">
            <w:pPr>
              <w:pStyle w:val="NoSpacing"/>
              <w:jc w:val="center"/>
              <w:rPr>
                <w:rFonts w:asciiTheme="majorHAnsi" w:hAnsiTheme="majorHAnsi" w:cstheme="majorHAnsi"/>
                <w:sz w:val="24"/>
                <w:szCs w:val="24"/>
              </w:rPr>
            </w:pPr>
            <w:r w:rsidRPr="00536C92">
              <w:rPr>
                <w:rFonts w:asciiTheme="majorHAnsi" w:hAnsiTheme="majorHAnsi" w:cstheme="majorHAnsi"/>
                <w:sz w:val="24"/>
                <w:szCs w:val="24"/>
              </w:rPr>
              <w:t>1</w:t>
            </w:r>
            <w:r w:rsidR="00A14BBD">
              <w:rPr>
                <w:rFonts w:asciiTheme="majorHAnsi" w:hAnsiTheme="majorHAnsi" w:cstheme="majorHAnsi"/>
                <w:sz w:val="24"/>
                <w:szCs w:val="24"/>
              </w:rPr>
              <w:t>7</w:t>
            </w:r>
          </w:p>
        </w:tc>
      </w:tr>
    </w:tbl>
    <w:p w14:paraId="09034642" w14:textId="6F3A8031" w:rsidR="00226A93" w:rsidRDefault="00226A93" w:rsidP="00660106">
      <w:pPr>
        <w:pStyle w:val="NoSpacing"/>
        <w:rPr>
          <w:rFonts w:asciiTheme="majorHAnsi" w:hAnsiTheme="majorHAnsi" w:cstheme="majorHAnsi"/>
          <w:sz w:val="24"/>
          <w:szCs w:val="24"/>
          <w:lang w:val="en-US"/>
        </w:rPr>
      </w:pPr>
    </w:p>
    <w:tbl>
      <w:tblPr>
        <w:tblW w:w="7040" w:type="dxa"/>
        <w:tblLook w:val="04A0" w:firstRow="1" w:lastRow="0" w:firstColumn="1" w:lastColumn="0" w:noHBand="0" w:noVBand="1"/>
      </w:tblPr>
      <w:tblGrid>
        <w:gridCol w:w="5600"/>
        <w:gridCol w:w="1440"/>
      </w:tblGrid>
      <w:tr w:rsidR="00691B88" w:rsidRPr="00691B88" w14:paraId="10BAA82B" w14:textId="77777777" w:rsidTr="00691B88">
        <w:trPr>
          <w:trHeight w:val="360"/>
        </w:trPr>
        <w:tc>
          <w:tcPr>
            <w:tcW w:w="5600" w:type="dxa"/>
            <w:tcBorders>
              <w:top w:val="nil"/>
              <w:left w:val="nil"/>
              <w:bottom w:val="nil"/>
              <w:right w:val="nil"/>
            </w:tcBorders>
            <w:shd w:val="clear" w:color="000000" w:fill="778899"/>
            <w:hideMark/>
          </w:tcPr>
          <w:p w14:paraId="640AC337" w14:textId="77777777" w:rsidR="00691B88" w:rsidRPr="00691B88" w:rsidRDefault="00691B88" w:rsidP="00691B88">
            <w:pPr>
              <w:pStyle w:val="NoSpacing"/>
              <w:rPr>
                <w:rFonts w:asciiTheme="majorHAnsi" w:hAnsiTheme="majorHAnsi" w:cstheme="majorHAnsi"/>
                <w:b/>
                <w:bCs/>
                <w:sz w:val="24"/>
                <w:szCs w:val="24"/>
              </w:rPr>
            </w:pPr>
            <w:r w:rsidRPr="00691B88">
              <w:rPr>
                <w:rFonts w:asciiTheme="majorHAnsi" w:hAnsiTheme="majorHAnsi" w:cstheme="majorHAnsi"/>
                <w:b/>
                <w:bCs/>
                <w:sz w:val="24"/>
                <w:szCs w:val="24"/>
              </w:rPr>
              <w:t># of Junior/Intermediate Classes</w:t>
            </w:r>
          </w:p>
        </w:tc>
        <w:tc>
          <w:tcPr>
            <w:tcW w:w="1440" w:type="dxa"/>
            <w:tcBorders>
              <w:top w:val="nil"/>
              <w:left w:val="nil"/>
              <w:bottom w:val="nil"/>
              <w:right w:val="nil"/>
            </w:tcBorders>
            <w:shd w:val="clear" w:color="000000" w:fill="778899"/>
            <w:hideMark/>
          </w:tcPr>
          <w:p w14:paraId="0BEFFC9C" w14:textId="77777777" w:rsidR="00691B88" w:rsidRPr="00691B88" w:rsidRDefault="00691B88" w:rsidP="00691B88">
            <w:pPr>
              <w:pStyle w:val="NoSpacing"/>
              <w:rPr>
                <w:rFonts w:asciiTheme="majorHAnsi" w:hAnsiTheme="majorHAnsi" w:cstheme="majorHAnsi"/>
                <w:sz w:val="24"/>
                <w:szCs w:val="24"/>
              </w:rPr>
            </w:pPr>
            <w:r w:rsidRPr="00691B88">
              <w:rPr>
                <w:rFonts w:asciiTheme="majorHAnsi" w:hAnsiTheme="majorHAnsi" w:cstheme="majorHAnsi"/>
                <w:sz w:val="24"/>
                <w:szCs w:val="24"/>
              </w:rPr>
              <w:t> </w:t>
            </w:r>
          </w:p>
        </w:tc>
      </w:tr>
      <w:tr w:rsidR="00691B88" w:rsidRPr="00691B88" w14:paraId="1F27920A" w14:textId="77777777" w:rsidTr="00691B88">
        <w:trPr>
          <w:trHeight w:val="360"/>
        </w:trPr>
        <w:tc>
          <w:tcPr>
            <w:tcW w:w="5600" w:type="dxa"/>
            <w:tcBorders>
              <w:top w:val="single" w:sz="4" w:space="0" w:color="696969"/>
              <w:left w:val="single" w:sz="4" w:space="0" w:color="696969"/>
              <w:bottom w:val="single" w:sz="4" w:space="0" w:color="696969"/>
              <w:right w:val="single" w:sz="4" w:space="0" w:color="696969"/>
            </w:tcBorders>
            <w:shd w:val="clear" w:color="000000" w:fill="B0C4DE"/>
            <w:hideMark/>
          </w:tcPr>
          <w:p w14:paraId="63D235A3" w14:textId="77777777" w:rsidR="00691B88" w:rsidRPr="00691B88" w:rsidRDefault="00691B88" w:rsidP="00691B88">
            <w:pPr>
              <w:pStyle w:val="NoSpacing"/>
              <w:rPr>
                <w:rFonts w:asciiTheme="majorHAnsi" w:hAnsiTheme="majorHAnsi" w:cstheme="majorHAnsi"/>
                <w:sz w:val="24"/>
                <w:szCs w:val="24"/>
              </w:rPr>
            </w:pPr>
            <w:r w:rsidRPr="00691B88">
              <w:rPr>
                <w:rFonts w:asciiTheme="majorHAnsi" w:hAnsiTheme="majorHAnsi" w:cstheme="majorHAnsi"/>
                <w:sz w:val="24"/>
                <w:szCs w:val="24"/>
              </w:rPr>
              <w:t>25 and Under</w:t>
            </w:r>
          </w:p>
        </w:tc>
        <w:tc>
          <w:tcPr>
            <w:tcW w:w="1440" w:type="dxa"/>
            <w:tcBorders>
              <w:top w:val="single" w:sz="4" w:space="0" w:color="696969"/>
              <w:left w:val="nil"/>
              <w:bottom w:val="single" w:sz="4" w:space="0" w:color="696969"/>
              <w:right w:val="single" w:sz="4" w:space="0" w:color="696969"/>
            </w:tcBorders>
            <w:shd w:val="clear" w:color="auto" w:fill="auto"/>
            <w:hideMark/>
          </w:tcPr>
          <w:p w14:paraId="12609B04" w14:textId="65D55FEF" w:rsidR="00691B88" w:rsidRPr="00691B88" w:rsidRDefault="00691B88" w:rsidP="00811E38">
            <w:pPr>
              <w:pStyle w:val="NoSpacing"/>
              <w:jc w:val="center"/>
              <w:rPr>
                <w:rFonts w:asciiTheme="majorHAnsi" w:hAnsiTheme="majorHAnsi" w:cstheme="majorHAnsi"/>
                <w:sz w:val="24"/>
                <w:szCs w:val="24"/>
              </w:rPr>
            </w:pPr>
            <w:r w:rsidRPr="00691B88">
              <w:rPr>
                <w:rFonts w:asciiTheme="majorHAnsi" w:hAnsiTheme="majorHAnsi" w:cstheme="majorHAnsi"/>
                <w:sz w:val="24"/>
                <w:szCs w:val="24"/>
              </w:rPr>
              <w:t>6</w:t>
            </w:r>
            <w:r w:rsidR="00A14BBD">
              <w:rPr>
                <w:rFonts w:asciiTheme="majorHAnsi" w:hAnsiTheme="majorHAnsi" w:cstheme="majorHAnsi"/>
                <w:sz w:val="24"/>
                <w:szCs w:val="24"/>
              </w:rPr>
              <w:t>9</w:t>
            </w:r>
          </w:p>
        </w:tc>
      </w:tr>
      <w:tr w:rsidR="00691B88" w:rsidRPr="00691B88" w14:paraId="5D95DC7B" w14:textId="77777777" w:rsidTr="00691B88">
        <w:trPr>
          <w:trHeight w:val="360"/>
        </w:trPr>
        <w:tc>
          <w:tcPr>
            <w:tcW w:w="5600" w:type="dxa"/>
            <w:tcBorders>
              <w:top w:val="single" w:sz="4" w:space="0" w:color="696969"/>
              <w:left w:val="single" w:sz="4" w:space="0" w:color="696969"/>
              <w:bottom w:val="single" w:sz="4" w:space="0" w:color="696969"/>
              <w:right w:val="single" w:sz="4" w:space="0" w:color="696969"/>
            </w:tcBorders>
            <w:shd w:val="clear" w:color="000000" w:fill="B0C4DE"/>
            <w:hideMark/>
          </w:tcPr>
          <w:p w14:paraId="4C1A5C34" w14:textId="77777777" w:rsidR="00691B88" w:rsidRPr="00691B88" w:rsidRDefault="00691B88" w:rsidP="00691B88">
            <w:pPr>
              <w:pStyle w:val="NoSpacing"/>
              <w:rPr>
                <w:rFonts w:asciiTheme="majorHAnsi" w:hAnsiTheme="majorHAnsi" w:cstheme="majorHAnsi"/>
                <w:sz w:val="24"/>
                <w:szCs w:val="24"/>
              </w:rPr>
            </w:pPr>
            <w:r w:rsidRPr="00691B88">
              <w:rPr>
                <w:rFonts w:asciiTheme="majorHAnsi" w:hAnsiTheme="majorHAnsi" w:cstheme="majorHAnsi"/>
                <w:sz w:val="24"/>
                <w:szCs w:val="24"/>
              </w:rPr>
              <w:t>26</w:t>
            </w:r>
          </w:p>
        </w:tc>
        <w:tc>
          <w:tcPr>
            <w:tcW w:w="1440" w:type="dxa"/>
            <w:tcBorders>
              <w:top w:val="single" w:sz="4" w:space="0" w:color="696969"/>
              <w:left w:val="nil"/>
              <w:bottom w:val="single" w:sz="4" w:space="0" w:color="696969"/>
              <w:right w:val="single" w:sz="4" w:space="0" w:color="696969"/>
            </w:tcBorders>
            <w:shd w:val="clear" w:color="auto" w:fill="auto"/>
            <w:hideMark/>
          </w:tcPr>
          <w:p w14:paraId="2A50172D" w14:textId="5B2A1BB4" w:rsidR="00691B88" w:rsidRPr="00691B88" w:rsidRDefault="00A14BBD" w:rsidP="00811E38">
            <w:pPr>
              <w:pStyle w:val="NoSpacing"/>
              <w:jc w:val="center"/>
              <w:rPr>
                <w:rFonts w:asciiTheme="majorHAnsi" w:hAnsiTheme="majorHAnsi" w:cstheme="majorHAnsi"/>
                <w:sz w:val="24"/>
                <w:szCs w:val="24"/>
              </w:rPr>
            </w:pPr>
            <w:r>
              <w:rPr>
                <w:rFonts w:asciiTheme="majorHAnsi" w:hAnsiTheme="majorHAnsi" w:cstheme="majorHAnsi"/>
                <w:sz w:val="24"/>
                <w:szCs w:val="24"/>
              </w:rPr>
              <w:t>11</w:t>
            </w:r>
          </w:p>
        </w:tc>
      </w:tr>
      <w:tr w:rsidR="00691B88" w:rsidRPr="00691B88" w14:paraId="19558E1A" w14:textId="77777777" w:rsidTr="00691B88">
        <w:trPr>
          <w:trHeight w:val="360"/>
        </w:trPr>
        <w:tc>
          <w:tcPr>
            <w:tcW w:w="5600" w:type="dxa"/>
            <w:tcBorders>
              <w:top w:val="single" w:sz="4" w:space="0" w:color="696969"/>
              <w:left w:val="single" w:sz="4" w:space="0" w:color="696969"/>
              <w:bottom w:val="single" w:sz="4" w:space="0" w:color="696969"/>
              <w:right w:val="single" w:sz="4" w:space="0" w:color="696969"/>
            </w:tcBorders>
            <w:shd w:val="clear" w:color="000000" w:fill="B0C4DE"/>
            <w:hideMark/>
          </w:tcPr>
          <w:p w14:paraId="5938514B" w14:textId="77777777" w:rsidR="00691B88" w:rsidRPr="00691B88" w:rsidRDefault="00691B88" w:rsidP="00691B88">
            <w:pPr>
              <w:pStyle w:val="NoSpacing"/>
              <w:rPr>
                <w:rFonts w:asciiTheme="majorHAnsi" w:hAnsiTheme="majorHAnsi" w:cstheme="majorHAnsi"/>
                <w:sz w:val="24"/>
                <w:szCs w:val="24"/>
              </w:rPr>
            </w:pPr>
            <w:r w:rsidRPr="00691B88">
              <w:rPr>
                <w:rFonts w:asciiTheme="majorHAnsi" w:hAnsiTheme="majorHAnsi" w:cstheme="majorHAnsi"/>
                <w:sz w:val="24"/>
                <w:szCs w:val="24"/>
              </w:rPr>
              <w:t>27</w:t>
            </w:r>
          </w:p>
        </w:tc>
        <w:tc>
          <w:tcPr>
            <w:tcW w:w="1440" w:type="dxa"/>
            <w:tcBorders>
              <w:top w:val="single" w:sz="4" w:space="0" w:color="696969"/>
              <w:left w:val="nil"/>
              <w:bottom w:val="single" w:sz="4" w:space="0" w:color="696969"/>
              <w:right w:val="single" w:sz="4" w:space="0" w:color="696969"/>
            </w:tcBorders>
            <w:shd w:val="clear" w:color="auto" w:fill="auto"/>
            <w:hideMark/>
          </w:tcPr>
          <w:p w14:paraId="609398B0" w14:textId="48E14929" w:rsidR="00691B88" w:rsidRPr="00691B88" w:rsidRDefault="00A14BBD" w:rsidP="00811E38">
            <w:pPr>
              <w:pStyle w:val="NoSpacing"/>
              <w:jc w:val="center"/>
              <w:rPr>
                <w:rFonts w:asciiTheme="majorHAnsi" w:hAnsiTheme="majorHAnsi" w:cstheme="majorHAnsi"/>
                <w:sz w:val="24"/>
                <w:szCs w:val="24"/>
              </w:rPr>
            </w:pPr>
            <w:r>
              <w:rPr>
                <w:rFonts w:asciiTheme="majorHAnsi" w:hAnsiTheme="majorHAnsi" w:cstheme="majorHAnsi"/>
                <w:sz w:val="24"/>
                <w:szCs w:val="24"/>
              </w:rPr>
              <w:t>9</w:t>
            </w:r>
          </w:p>
        </w:tc>
      </w:tr>
      <w:tr w:rsidR="00691B88" w:rsidRPr="00691B88" w14:paraId="0F6F5923" w14:textId="77777777" w:rsidTr="00691B88">
        <w:trPr>
          <w:trHeight w:val="360"/>
        </w:trPr>
        <w:tc>
          <w:tcPr>
            <w:tcW w:w="5600" w:type="dxa"/>
            <w:tcBorders>
              <w:top w:val="single" w:sz="4" w:space="0" w:color="696969"/>
              <w:left w:val="single" w:sz="4" w:space="0" w:color="696969"/>
              <w:bottom w:val="single" w:sz="4" w:space="0" w:color="696969"/>
              <w:right w:val="single" w:sz="4" w:space="0" w:color="696969"/>
            </w:tcBorders>
            <w:shd w:val="clear" w:color="000000" w:fill="B0C4DE"/>
            <w:hideMark/>
          </w:tcPr>
          <w:p w14:paraId="02394015" w14:textId="77777777" w:rsidR="00691B88" w:rsidRPr="00691B88" w:rsidRDefault="00691B88" w:rsidP="00691B88">
            <w:pPr>
              <w:pStyle w:val="NoSpacing"/>
              <w:rPr>
                <w:rFonts w:asciiTheme="majorHAnsi" w:hAnsiTheme="majorHAnsi" w:cstheme="majorHAnsi"/>
                <w:sz w:val="24"/>
                <w:szCs w:val="24"/>
              </w:rPr>
            </w:pPr>
            <w:r w:rsidRPr="00691B88">
              <w:rPr>
                <w:rFonts w:asciiTheme="majorHAnsi" w:hAnsiTheme="majorHAnsi" w:cstheme="majorHAnsi"/>
                <w:sz w:val="24"/>
                <w:szCs w:val="24"/>
              </w:rPr>
              <w:t>28</w:t>
            </w:r>
          </w:p>
        </w:tc>
        <w:tc>
          <w:tcPr>
            <w:tcW w:w="1440" w:type="dxa"/>
            <w:tcBorders>
              <w:top w:val="single" w:sz="4" w:space="0" w:color="696969"/>
              <w:left w:val="nil"/>
              <w:bottom w:val="single" w:sz="4" w:space="0" w:color="696969"/>
              <w:right w:val="single" w:sz="4" w:space="0" w:color="696969"/>
            </w:tcBorders>
            <w:shd w:val="clear" w:color="auto" w:fill="auto"/>
            <w:hideMark/>
          </w:tcPr>
          <w:p w14:paraId="695C27CA" w14:textId="436B4D69" w:rsidR="00691B88" w:rsidRPr="00691B88" w:rsidRDefault="00691B88" w:rsidP="00811E38">
            <w:pPr>
              <w:pStyle w:val="NoSpacing"/>
              <w:jc w:val="center"/>
              <w:rPr>
                <w:rFonts w:asciiTheme="majorHAnsi" w:hAnsiTheme="majorHAnsi" w:cstheme="majorHAnsi"/>
                <w:sz w:val="24"/>
                <w:szCs w:val="24"/>
              </w:rPr>
            </w:pPr>
            <w:r w:rsidRPr="00691B88">
              <w:rPr>
                <w:rFonts w:asciiTheme="majorHAnsi" w:hAnsiTheme="majorHAnsi" w:cstheme="majorHAnsi"/>
                <w:sz w:val="24"/>
                <w:szCs w:val="24"/>
              </w:rPr>
              <w:t>1</w:t>
            </w:r>
            <w:r w:rsidR="00A14BBD">
              <w:rPr>
                <w:rFonts w:asciiTheme="majorHAnsi" w:hAnsiTheme="majorHAnsi" w:cstheme="majorHAnsi"/>
                <w:sz w:val="24"/>
                <w:szCs w:val="24"/>
              </w:rPr>
              <w:t>3</w:t>
            </w:r>
          </w:p>
        </w:tc>
      </w:tr>
      <w:tr w:rsidR="00691B88" w:rsidRPr="00691B88" w14:paraId="3D148B7F" w14:textId="77777777" w:rsidTr="00691B88">
        <w:trPr>
          <w:trHeight w:val="360"/>
        </w:trPr>
        <w:tc>
          <w:tcPr>
            <w:tcW w:w="5600" w:type="dxa"/>
            <w:tcBorders>
              <w:top w:val="single" w:sz="4" w:space="0" w:color="696969"/>
              <w:left w:val="single" w:sz="4" w:space="0" w:color="696969"/>
              <w:bottom w:val="single" w:sz="4" w:space="0" w:color="696969"/>
              <w:right w:val="single" w:sz="4" w:space="0" w:color="696969"/>
            </w:tcBorders>
            <w:shd w:val="clear" w:color="000000" w:fill="B0C4DE"/>
            <w:hideMark/>
          </w:tcPr>
          <w:p w14:paraId="3DBB5BA5" w14:textId="77777777" w:rsidR="00691B88" w:rsidRPr="00691B88" w:rsidRDefault="00691B88" w:rsidP="00691B88">
            <w:pPr>
              <w:pStyle w:val="NoSpacing"/>
              <w:rPr>
                <w:rFonts w:asciiTheme="majorHAnsi" w:hAnsiTheme="majorHAnsi" w:cstheme="majorHAnsi"/>
                <w:sz w:val="24"/>
                <w:szCs w:val="24"/>
              </w:rPr>
            </w:pPr>
            <w:r w:rsidRPr="00691B88">
              <w:rPr>
                <w:rFonts w:asciiTheme="majorHAnsi" w:hAnsiTheme="majorHAnsi" w:cstheme="majorHAnsi"/>
                <w:sz w:val="24"/>
                <w:szCs w:val="24"/>
              </w:rPr>
              <w:t>29</w:t>
            </w:r>
          </w:p>
        </w:tc>
        <w:tc>
          <w:tcPr>
            <w:tcW w:w="1440" w:type="dxa"/>
            <w:tcBorders>
              <w:top w:val="single" w:sz="4" w:space="0" w:color="696969"/>
              <w:left w:val="nil"/>
              <w:bottom w:val="single" w:sz="4" w:space="0" w:color="696969"/>
              <w:right w:val="single" w:sz="4" w:space="0" w:color="696969"/>
            </w:tcBorders>
            <w:shd w:val="clear" w:color="auto" w:fill="auto"/>
            <w:hideMark/>
          </w:tcPr>
          <w:p w14:paraId="57B7B12A" w14:textId="77777777" w:rsidR="00691B88" w:rsidRPr="00691B88" w:rsidRDefault="00691B88" w:rsidP="00811E38">
            <w:pPr>
              <w:pStyle w:val="NoSpacing"/>
              <w:jc w:val="center"/>
              <w:rPr>
                <w:rFonts w:asciiTheme="majorHAnsi" w:hAnsiTheme="majorHAnsi" w:cstheme="majorHAnsi"/>
                <w:sz w:val="24"/>
                <w:szCs w:val="24"/>
              </w:rPr>
            </w:pPr>
            <w:r w:rsidRPr="00691B88">
              <w:rPr>
                <w:rFonts w:asciiTheme="majorHAnsi" w:hAnsiTheme="majorHAnsi" w:cstheme="majorHAnsi"/>
                <w:sz w:val="24"/>
                <w:szCs w:val="24"/>
              </w:rPr>
              <w:t>3</w:t>
            </w:r>
          </w:p>
        </w:tc>
      </w:tr>
      <w:tr w:rsidR="00691B88" w:rsidRPr="00691B88" w14:paraId="156032D4" w14:textId="77777777" w:rsidTr="00691B88">
        <w:trPr>
          <w:trHeight w:val="360"/>
        </w:trPr>
        <w:tc>
          <w:tcPr>
            <w:tcW w:w="5600" w:type="dxa"/>
            <w:tcBorders>
              <w:top w:val="single" w:sz="4" w:space="0" w:color="696969"/>
              <w:left w:val="single" w:sz="4" w:space="0" w:color="696969"/>
              <w:bottom w:val="single" w:sz="4" w:space="0" w:color="696969"/>
              <w:right w:val="single" w:sz="4" w:space="0" w:color="696969"/>
            </w:tcBorders>
            <w:shd w:val="clear" w:color="000000" w:fill="B0C4DE"/>
            <w:hideMark/>
          </w:tcPr>
          <w:p w14:paraId="58386EE9" w14:textId="77777777" w:rsidR="00691B88" w:rsidRPr="00691B88" w:rsidRDefault="00691B88" w:rsidP="00691B88">
            <w:pPr>
              <w:pStyle w:val="NoSpacing"/>
              <w:rPr>
                <w:rFonts w:asciiTheme="majorHAnsi" w:hAnsiTheme="majorHAnsi" w:cstheme="majorHAnsi"/>
                <w:sz w:val="24"/>
                <w:szCs w:val="24"/>
              </w:rPr>
            </w:pPr>
            <w:r w:rsidRPr="00691B88">
              <w:rPr>
                <w:rFonts w:asciiTheme="majorHAnsi" w:hAnsiTheme="majorHAnsi" w:cstheme="majorHAnsi"/>
                <w:sz w:val="24"/>
                <w:szCs w:val="24"/>
              </w:rPr>
              <w:t>Total</w:t>
            </w:r>
          </w:p>
        </w:tc>
        <w:tc>
          <w:tcPr>
            <w:tcW w:w="1440" w:type="dxa"/>
            <w:tcBorders>
              <w:top w:val="single" w:sz="4" w:space="0" w:color="696969"/>
              <w:left w:val="nil"/>
              <w:bottom w:val="single" w:sz="4" w:space="0" w:color="696969"/>
              <w:right w:val="single" w:sz="4" w:space="0" w:color="696969"/>
            </w:tcBorders>
            <w:shd w:val="clear" w:color="auto" w:fill="auto"/>
            <w:hideMark/>
          </w:tcPr>
          <w:p w14:paraId="0803D071" w14:textId="0902C86B" w:rsidR="00691B88" w:rsidRPr="00691B88" w:rsidRDefault="00A14BBD" w:rsidP="00811E38">
            <w:pPr>
              <w:pStyle w:val="NoSpacing"/>
              <w:jc w:val="center"/>
              <w:rPr>
                <w:rFonts w:asciiTheme="majorHAnsi" w:hAnsiTheme="majorHAnsi" w:cstheme="majorHAnsi"/>
                <w:sz w:val="24"/>
                <w:szCs w:val="24"/>
              </w:rPr>
            </w:pPr>
            <w:r>
              <w:rPr>
                <w:rFonts w:asciiTheme="majorHAnsi" w:hAnsiTheme="majorHAnsi" w:cstheme="majorHAnsi"/>
                <w:sz w:val="24"/>
                <w:szCs w:val="24"/>
              </w:rPr>
              <w:t>105</w:t>
            </w:r>
          </w:p>
        </w:tc>
      </w:tr>
    </w:tbl>
    <w:p w14:paraId="3254C01A" w14:textId="785A7949" w:rsidR="00536C92" w:rsidRDefault="00536C92" w:rsidP="00660106">
      <w:pPr>
        <w:pStyle w:val="NoSpacing"/>
        <w:rPr>
          <w:rFonts w:asciiTheme="majorHAnsi" w:hAnsiTheme="majorHAnsi" w:cstheme="majorHAnsi"/>
          <w:sz w:val="24"/>
          <w:szCs w:val="24"/>
          <w:lang w:val="en-US"/>
        </w:rPr>
      </w:pPr>
    </w:p>
    <w:p w14:paraId="41EBEF8A" w14:textId="76033F80" w:rsidR="00536C92" w:rsidRDefault="00500C21" w:rsidP="00660106">
      <w:pPr>
        <w:pStyle w:val="NoSpacing"/>
        <w:rPr>
          <w:rFonts w:asciiTheme="majorHAnsi" w:hAnsiTheme="majorHAnsi" w:cstheme="majorHAnsi"/>
          <w:sz w:val="24"/>
          <w:szCs w:val="24"/>
          <w:lang w:val="en-US"/>
        </w:rPr>
      </w:pPr>
      <w:r w:rsidRPr="00500C21">
        <w:rPr>
          <w:rFonts w:asciiTheme="majorHAnsi" w:hAnsiTheme="majorHAnsi" w:cstheme="majorHAnsi"/>
          <w:sz w:val="24"/>
          <w:szCs w:val="24"/>
          <w:lang w:val="en-US"/>
        </w:rPr>
        <w:t xml:space="preserve">Class organizations are revisited in September once students are actually in the classroom and adjustments </w:t>
      </w:r>
      <w:r w:rsidR="00F01132">
        <w:rPr>
          <w:rFonts w:asciiTheme="majorHAnsi" w:hAnsiTheme="majorHAnsi" w:cstheme="majorHAnsi"/>
          <w:sz w:val="24"/>
          <w:szCs w:val="24"/>
          <w:lang w:val="en-US"/>
        </w:rPr>
        <w:t>will be</w:t>
      </w:r>
      <w:r w:rsidRPr="00500C21">
        <w:rPr>
          <w:rFonts w:asciiTheme="majorHAnsi" w:hAnsiTheme="majorHAnsi" w:cstheme="majorHAnsi"/>
          <w:sz w:val="24"/>
          <w:szCs w:val="24"/>
          <w:lang w:val="en-US"/>
        </w:rPr>
        <w:t xml:space="preserve"> made accordingly.</w:t>
      </w:r>
    </w:p>
    <w:p w14:paraId="0B652D24" w14:textId="102BCB0B" w:rsidR="00500C21" w:rsidRDefault="00500C21" w:rsidP="00660106">
      <w:pPr>
        <w:pStyle w:val="NoSpacing"/>
        <w:rPr>
          <w:rFonts w:asciiTheme="majorHAnsi" w:hAnsiTheme="majorHAnsi" w:cstheme="majorHAnsi"/>
          <w:sz w:val="24"/>
          <w:szCs w:val="24"/>
          <w:lang w:val="en-US"/>
        </w:rPr>
      </w:pPr>
    </w:p>
    <w:p w14:paraId="7B191B3E" w14:textId="616759D2" w:rsidR="00786193" w:rsidRDefault="00786193" w:rsidP="00660106">
      <w:pPr>
        <w:pStyle w:val="NoSpacing"/>
        <w:rPr>
          <w:rFonts w:asciiTheme="majorHAnsi" w:hAnsiTheme="majorHAnsi" w:cstheme="majorHAnsi"/>
          <w:sz w:val="24"/>
          <w:szCs w:val="24"/>
          <w:lang w:val="en-US"/>
        </w:rPr>
      </w:pPr>
      <w:r>
        <w:rPr>
          <w:rFonts w:asciiTheme="majorHAnsi" w:hAnsiTheme="majorHAnsi" w:cstheme="majorHAnsi"/>
          <w:sz w:val="24"/>
          <w:szCs w:val="24"/>
          <w:lang w:val="en-US"/>
        </w:rPr>
        <w:t xml:space="preserve">Please note that we have not </w:t>
      </w:r>
      <w:r w:rsidR="00F2447F">
        <w:rPr>
          <w:rFonts w:asciiTheme="majorHAnsi" w:hAnsiTheme="majorHAnsi" w:cstheme="majorHAnsi"/>
          <w:sz w:val="24"/>
          <w:szCs w:val="24"/>
          <w:lang w:val="en-US"/>
        </w:rPr>
        <w:t xml:space="preserve">created any remote classes at this point as </w:t>
      </w:r>
      <w:r w:rsidR="00427CB0">
        <w:rPr>
          <w:rFonts w:asciiTheme="majorHAnsi" w:hAnsiTheme="majorHAnsi" w:cstheme="majorHAnsi"/>
          <w:sz w:val="24"/>
          <w:szCs w:val="24"/>
          <w:lang w:val="en-US"/>
        </w:rPr>
        <w:t>o</w:t>
      </w:r>
      <w:r w:rsidR="00B03C30" w:rsidRPr="00B03C30">
        <w:rPr>
          <w:rFonts w:asciiTheme="majorHAnsi" w:hAnsiTheme="majorHAnsi" w:cstheme="majorHAnsi"/>
          <w:sz w:val="24"/>
          <w:szCs w:val="24"/>
          <w:lang w:val="en-US"/>
        </w:rPr>
        <w:t xml:space="preserve">ur board </w:t>
      </w:r>
      <w:r w:rsidR="00363D21">
        <w:rPr>
          <w:rFonts w:asciiTheme="majorHAnsi" w:hAnsiTheme="majorHAnsi" w:cstheme="majorHAnsi"/>
          <w:sz w:val="24"/>
          <w:szCs w:val="24"/>
          <w:lang w:val="en-US"/>
        </w:rPr>
        <w:t>has not completed analyzing the options available to it</w:t>
      </w:r>
      <w:r w:rsidR="003C4C45">
        <w:rPr>
          <w:rFonts w:asciiTheme="majorHAnsi" w:hAnsiTheme="majorHAnsi" w:cstheme="majorHAnsi"/>
          <w:sz w:val="24"/>
          <w:szCs w:val="24"/>
          <w:lang w:val="en-US"/>
        </w:rPr>
        <w:t xml:space="preserve"> however, there is 1 teacher position budgeted for</w:t>
      </w:r>
      <w:r w:rsidR="00AA7D47">
        <w:rPr>
          <w:rFonts w:asciiTheme="majorHAnsi" w:hAnsiTheme="majorHAnsi" w:cstheme="majorHAnsi"/>
          <w:sz w:val="24"/>
          <w:szCs w:val="24"/>
          <w:lang w:val="en-US"/>
        </w:rPr>
        <w:t xml:space="preserve">.  It is important to be strategic in this area as funding is limited and uptake is </w:t>
      </w:r>
      <w:r w:rsidR="001D7A96">
        <w:rPr>
          <w:rFonts w:asciiTheme="majorHAnsi" w:hAnsiTheme="majorHAnsi" w:cstheme="majorHAnsi"/>
          <w:sz w:val="24"/>
          <w:szCs w:val="24"/>
          <w:lang w:val="en-US"/>
        </w:rPr>
        <w:t>very small</w:t>
      </w:r>
      <w:r w:rsidR="00AA7D47">
        <w:rPr>
          <w:rFonts w:asciiTheme="majorHAnsi" w:hAnsiTheme="majorHAnsi" w:cstheme="majorHAnsi"/>
          <w:sz w:val="24"/>
          <w:szCs w:val="24"/>
          <w:lang w:val="en-US"/>
        </w:rPr>
        <w:t>.</w:t>
      </w:r>
    </w:p>
    <w:p w14:paraId="24E9E53E" w14:textId="1AC227CC" w:rsidR="00660106" w:rsidRPr="007B5D08" w:rsidRDefault="00226A93" w:rsidP="00660106">
      <w:pPr>
        <w:pStyle w:val="NoSpacing"/>
        <w:rPr>
          <w:rFonts w:asciiTheme="majorHAnsi" w:hAnsiTheme="majorHAnsi" w:cstheme="majorHAnsi"/>
          <w:sz w:val="24"/>
          <w:szCs w:val="24"/>
          <w:lang w:val="en-US"/>
        </w:rPr>
      </w:pPr>
      <w:r>
        <w:rPr>
          <w:rFonts w:asciiTheme="majorHAnsi" w:hAnsiTheme="majorHAnsi" w:cstheme="majorHAnsi"/>
          <w:sz w:val="24"/>
          <w:szCs w:val="24"/>
          <w:lang w:val="en-US"/>
        </w:rPr>
        <w:lastRenderedPageBreak/>
        <w:t>S</w:t>
      </w:r>
      <w:r w:rsidR="00660106" w:rsidRPr="007B5D08">
        <w:rPr>
          <w:rFonts w:asciiTheme="majorHAnsi" w:hAnsiTheme="majorHAnsi" w:cstheme="majorHAnsi"/>
          <w:sz w:val="24"/>
          <w:szCs w:val="24"/>
          <w:lang w:val="en-US"/>
        </w:rPr>
        <w:t>econdary enrolment</w:t>
      </w:r>
      <w:r>
        <w:rPr>
          <w:rFonts w:asciiTheme="majorHAnsi" w:hAnsiTheme="majorHAnsi" w:cstheme="majorHAnsi"/>
          <w:sz w:val="24"/>
          <w:szCs w:val="24"/>
          <w:lang w:val="en-US"/>
        </w:rPr>
        <w:t>, on the other hand</w:t>
      </w:r>
      <w:r w:rsidR="00455E35">
        <w:rPr>
          <w:rFonts w:asciiTheme="majorHAnsi" w:hAnsiTheme="majorHAnsi" w:cstheme="majorHAnsi"/>
          <w:sz w:val="24"/>
          <w:szCs w:val="24"/>
          <w:lang w:val="en-US"/>
        </w:rPr>
        <w:t xml:space="preserve"> continues</w:t>
      </w:r>
      <w:r w:rsidR="00660106" w:rsidRPr="007B5D08">
        <w:rPr>
          <w:rFonts w:asciiTheme="majorHAnsi" w:hAnsiTheme="majorHAnsi" w:cstheme="majorHAnsi"/>
          <w:sz w:val="24"/>
          <w:szCs w:val="24"/>
          <w:lang w:val="en-US"/>
        </w:rPr>
        <w:t xml:space="preserve"> to trend </w:t>
      </w:r>
      <w:r w:rsidR="00C957A3">
        <w:rPr>
          <w:rFonts w:asciiTheme="majorHAnsi" w:hAnsiTheme="majorHAnsi" w:cstheme="majorHAnsi"/>
          <w:sz w:val="24"/>
          <w:szCs w:val="24"/>
          <w:lang w:val="en-US"/>
        </w:rPr>
        <w:t xml:space="preserve">upwards. </w:t>
      </w:r>
      <w:r w:rsidR="00DC14E8">
        <w:rPr>
          <w:rFonts w:asciiTheme="majorHAnsi" w:hAnsiTheme="majorHAnsi" w:cstheme="majorHAnsi"/>
          <w:sz w:val="24"/>
          <w:szCs w:val="24"/>
          <w:lang w:val="en-US"/>
        </w:rPr>
        <w:t xml:space="preserve">In accordance with the collective agreement the board </w:t>
      </w:r>
      <w:r w:rsidR="00DD1434">
        <w:rPr>
          <w:rFonts w:asciiTheme="majorHAnsi" w:hAnsiTheme="majorHAnsi" w:cstheme="majorHAnsi"/>
          <w:sz w:val="24"/>
          <w:szCs w:val="24"/>
          <w:lang w:val="en-US"/>
        </w:rPr>
        <w:t xml:space="preserve">must </w:t>
      </w:r>
      <w:r w:rsidR="00DC14E8">
        <w:rPr>
          <w:rFonts w:asciiTheme="majorHAnsi" w:hAnsiTheme="majorHAnsi" w:cstheme="majorHAnsi"/>
          <w:sz w:val="24"/>
          <w:szCs w:val="24"/>
          <w:lang w:val="en-US"/>
        </w:rPr>
        <w:t xml:space="preserve">staff secondary based on 98% of </w:t>
      </w:r>
      <w:r w:rsidR="00270954">
        <w:rPr>
          <w:rFonts w:asciiTheme="majorHAnsi" w:hAnsiTheme="majorHAnsi" w:cstheme="majorHAnsi"/>
          <w:sz w:val="24"/>
          <w:szCs w:val="24"/>
          <w:lang w:val="en-US"/>
        </w:rPr>
        <w:t>projections, this is to take into account the consistent reduction in enrolment that is experienced after the first semester.</w:t>
      </w:r>
      <w:r w:rsidR="00A954BC">
        <w:rPr>
          <w:rFonts w:asciiTheme="majorHAnsi" w:hAnsiTheme="majorHAnsi" w:cstheme="majorHAnsi"/>
          <w:sz w:val="24"/>
          <w:szCs w:val="24"/>
          <w:lang w:val="en-US"/>
        </w:rPr>
        <w:t xml:space="preserve">  </w:t>
      </w:r>
      <w:r w:rsidR="003240AA">
        <w:rPr>
          <w:rFonts w:asciiTheme="majorHAnsi" w:hAnsiTheme="majorHAnsi" w:cstheme="majorHAnsi"/>
          <w:sz w:val="24"/>
          <w:szCs w:val="24"/>
          <w:lang w:val="en-US"/>
        </w:rPr>
        <w:t>In actuality</w:t>
      </w:r>
      <w:r w:rsidR="00491D40">
        <w:rPr>
          <w:rFonts w:asciiTheme="majorHAnsi" w:hAnsiTheme="majorHAnsi" w:cstheme="majorHAnsi"/>
          <w:sz w:val="24"/>
          <w:szCs w:val="24"/>
          <w:lang w:val="en-US"/>
        </w:rPr>
        <w:t xml:space="preserve"> the trend is usually between 95% and 98%</w:t>
      </w:r>
      <w:r w:rsidR="0065028A">
        <w:rPr>
          <w:rFonts w:asciiTheme="majorHAnsi" w:hAnsiTheme="majorHAnsi" w:cstheme="majorHAnsi"/>
          <w:sz w:val="24"/>
          <w:szCs w:val="24"/>
          <w:lang w:val="en-US"/>
        </w:rPr>
        <w:t xml:space="preserve">, therefore the projection for </w:t>
      </w:r>
      <w:r w:rsidR="00537B8F">
        <w:rPr>
          <w:rFonts w:asciiTheme="majorHAnsi" w:hAnsiTheme="majorHAnsi" w:cstheme="majorHAnsi"/>
          <w:sz w:val="24"/>
          <w:szCs w:val="24"/>
          <w:lang w:val="en-US"/>
        </w:rPr>
        <w:t>grant revenue is calculated at 97%.</w:t>
      </w:r>
    </w:p>
    <w:p w14:paraId="6F4F5061" w14:textId="3F2C7DAF" w:rsidR="00660106" w:rsidRPr="003A57CF" w:rsidRDefault="00660106" w:rsidP="00854FA7">
      <w:pPr>
        <w:pStyle w:val="NoSpacing"/>
        <w:rPr>
          <w:rFonts w:asciiTheme="majorHAnsi" w:hAnsiTheme="majorHAnsi" w:cstheme="majorHAnsi"/>
        </w:rPr>
      </w:pPr>
    </w:p>
    <w:p w14:paraId="28DE839C" w14:textId="5CACE6AC" w:rsidR="00AE52FA" w:rsidRDefault="00AE52FA" w:rsidP="00AE52FA">
      <w:pPr>
        <w:pStyle w:val="Heading2"/>
      </w:pPr>
      <w:bookmarkStart w:id="4" w:name="_Toc104628854"/>
      <w:r>
        <w:t>Elementary Enrolment Trending by Grade</w:t>
      </w:r>
      <w:bookmarkEnd w:id="4"/>
    </w:p>
    <w:p w14:paraId="3E17637A" w14:textId="77777777" w:rsidR="00CD46AD" w:rsidRDefault="00CD46AD" w:rsidP="00854FA7">
      <w:pPr>
        <w:pStyle w:val="NoSpacing"/>
      </w:pPr>
    </w:p>
    <w:p w14:paraId="45411462" w14:textId="5839D7C4" w:rsidR="00002134" w:rsidRDefault="00CD46AD" w:rsidP="00854FA7">
      <w:pPr>
        <w:pStyle w:val="NoSpacing"/>
      </w:pPr>
      <w:r>
        <w:rPr>
          <w:noProof/>
        </w:rPr>
        <w:drawing>
          <wp:inline distT="0" distB="0" distL="0" distR="0" wp14:anchorId="753D8F76" wp14:editId="770FDDFC">
            <wp:extent cx="5943600" cy="3061970"/>
            <wp:effectExtent l="0" t="0" r="0" b="5080"/>
            <wp:docPr id="1" name="Chart 1">
              <a:extLst xmlns:a="http://schemas.openxmlformats.org/drawingml/2006/main">
                <a:ext uri="{FF2B5EF4-FFF2-40B4-BE49-F238E27FC236}">
                  <a16:creationId xmlns:a16="http://schemas.microsoft.com/office/drawing/2014/main" id="{34B23FC7-8CBD-4A96-A446-601DD5C7C2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87DA6D8" w14:textId="77777777" w:rsidR="00CD46AD" w:rsidRDefault="00CD46AD" w:rsidP="009164D0">
      <w:pPr>
        <w:pStyle w:val="Heading2"/>
      </w:pPr>
    </w:p>
    <w:p w14:paraId="60FE08FB" w14:textId="36C40196" w:rsidR="00002134" w:rsidRDefault="00002134" w:rsidP="009164D0">
      <w:pPr>
        <w:pStyle w:val="Heading2"/>
      </w:pPr>
      <w:bookmarkStart w:id="5" w:name="_Toc104628855"/>
      <w:r>
        <w:t>Elementary Global Enrolment Trending (ADE)</w:t>
      </w:r>
      <w:bookmarkEnd w:id="5"/>
    </w:p>
    <w:p w14:paraId="2AB7EB48" w14:textId="13B9D6B6" w:rsidR="0018102B" w:rsidRDefault="00C6424A" w:rsidP="00854FA7">
      <w:pPr>
        <w:pStyle w:val="NoSpacing"/>
      </w:pPr>
      <w:r>
        <w:rPr>
          <w:noProof/>
        </w:rPr>
        <w:drawing>
          <wp:inline distT="0" distB="0" distL="0" distR="0" wp14:anchorId="5B6EAD1A" wp14:editId="69C0F3D4">
            <wp:extent cx="5943600" cy="3219450"/>
            <wp:effectExtent l="0" t="0" r="0" b="0"/>
            <wp:docPr id="11" name="Chart 11">
              <a:extLst xmlns:a="http://schemas.openxmlformats.org/drawingml/2006/main">
                <a:ext uri="{FF2B5EF4-FFF2-40B4-BE49-F238E27FC236}">
                  <a16:creationId xmlns:a16="http://schemas.microsoft.com/office/drawing/2014/main" id="{F8DBC1C4-D3E0-4F0F-A486-CE159827CB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FA46E76" w14:textId="26C066BD" w:rsidR="009164D0" w:rsidRDefault="009B7152" w:rsidP="00CE2F43">
      <w:pPr>
        <w:pStyle w:val="Heading2"/>
      </w:pPr>
      <w:bookmarkStart w:id="6" w:name="_Toc104628856"/>
      <w:r>
        <w:t>S</w:t>
      </w:r>
      <w:r w:rsidR="00CE2F43">
        <w:t>econdary Global Enrolment Trending (ADE)</w:t>
      </w:r>
      <w:bookmarkEnd w:id="6"/>
    </w:p>
    <w:p w14:paraId="29D94E1C" w14:textId="2E2F8A37" w:rsidR="00BD6133" w:rsidRDefault="00A1745E" w:rsidP="00854FA7">
      <w:pPr>
        <w:pStyle w:val="NoSpacing"/>
      </w:pPr>
      <w:r>
        <w:rPr>
          <w:noProof/>
        </w:rPr>
        <w:drawing>
          <wp:inline distT="0" distB="0" distL="0" distR="0" wp14:anchorId="70D63912" wp14:editId="5D5DDF8F">
            <wp:extent cx="5943600" cy="3848100"/>
            <wp:effectExtent l="0" t="0" r="0" b="0"/>
            <wp:docPr id="12" name="Chart 12">
              <a:extLst xmlns:a="http://schemas.openxmlformats.org/drawingml/2006/main">
                <a:ext uri="{FF2B5EF4-FFF2-40B4-BE49-F238E27FC236}">
                  <a16:creationId xmlns:a16="http://schemas.microsoft.com/office/drawing/2014/main" id="{6D722475-E370-4811-8D0F-AACEAF4B50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D092EDF" w14:textId="77777777" w:rsidR="00745757" w:rsidRDefault="00745757" w:rsidP="0018102B">
      <w:pPr>
        <w:pStyle w:val="Heading2"/>
      </w:pPr>
    </w:p>
    <w:p w14:paraId="708C092E" w14:textId="1EA8CE90" w:rsidR="00BD6133" w:rsidRDefault="00925AB9" w:rsidP="0018102B">
      <w:pPr>
        <w:pStyle w:val="Heading2"/>
      </w:pPr>
      <w:bookmarkStart w:id="7" w:name="_Toc104628857"/>
      <w:r>
        <w:t>Elementary Enrolment Projections by School and Program</w:t>
      </w:r>
      <w:bookmarkEnd w:id="7"/>
    </w:p>
    <w:tbl>
      <w:tblPr>
        <w:tblW w:w="9633" w:type="dxa"/>
        <w:tblLook w:val="04A0" w:firstRow="1" w:lastRow="0" w:firstColumn="1" w:lastColumn="0" w:noHBand="0" w:noVBand="1"/>
      </w:tblPr>
      <w:tblGrid>
        <w:gridCol w:w="2424"/>
        <w:gridCol w:w="1048"/>
        <w:gridCol w:w="758"/>
        <w:gridCol w:w="539"/>
        <w:gridCol w:w="567"/>
        <w:gridCol w:w="495"/>
        <w:gridCol w:w="495"/>
        <w:gridCol w:w="495"/>
        <w:gridCol w:w="495"/>
        <w:gridCol w:w="495"/>
        <w:gridCol w:w="530"/>
        <w:gridCol w:w="530"/>
        <w:gridCol w:w="762"/>
      </w:tblGrid>
      <w:tr w:rsidR="00A1745E" w:rsidRPr="002528F9" w14:paraId="60E0B8C3" w14:textId="77777777" w:rsidTr="00AD0D88">
        <w:trPr>
          <w:trHeight w:val="570"/>
        </w:trPr>
        <w:tc>
          <w:tcPr>
            <w:tcW w:w="2423" w:type="dxa"/>
            <w:tcBorders>
              <w:top w:val="single" w:sz="4" w:space="0" w:color="D3D3D3"/>
              <w:left w:val="single" w:sz="4" w:space="0" w:color="D3D3D3"/>
              <w:bottom w:val="single" w:sz="4" w:space="0" w:color="D3D3D3"/>
              <w:right w:val="single" w:sz="4" w:space="0" w:color="D3D3D3"/>
            </w:tcBorders>
            <w:shd w:val="clear" w:color="000000" w:fill="6E9ECA"/>
            <w:hideMark/>
          </w:tcPr>
          <w:p w14:paraId="4842687E" w14:textId="77777777" w:rsidR="002528F9" w:rsidRPr="002528F9" w:rsidRDefault="002528F9" w:rsidP="002528F9">
            <w:pPr>
              <w:spacing w:after="0" w:line="240" w:lineRule="auto"/>
              <w:rPr>
                <w:rFonts w:ascii="Lato" w:eastAsia="Times New Roman" w:hAnsi="Lato" w:cs="Tahoma"/>
                <w:b/>
                <w:bCs/>
                <w:color w:val="FFFFFF"/>
                <w:sz w:val="18"/>
                <w:szCs w:val="18"/>
                <w:lang w:eastAsia="en-CA"/>
              </w:rPr>
            </w:pPr>
            <w:r w:rsidRPr="002528F9">
              <w:rPr>
                <w:rFonts w:ascii="Lato" w:eastAsia="Times New Roman" w:hAnsi="Lato" w:cs="Tahoma"/>
                <w:b/>
                <w:bCs/>
                <w:color w:val="FFFFFF"/>
                <w:sz w:val="18"/>
                <w:szCs w:val="18"/>
                <w:lang w:eastAsia="en-CA"/>
              </w:rPr>
              <w:t>School</w:t>
            </w:r>
          </w:p>
        </w:tc>
        <w:tc>
          <w:tcPr>
            <w:tcW w:w="1047" w:type="dxa"/>
            <w:tcBorders>
              <w:top w:val="single" w:sz="4" w:space="0" w:color="D3D3D3"/>
              <w:left w:val="nil"/>
              <w:bottom w:val="single" w:sz="4" w:space="0" w:color="D3D3D3"/>
              <w:right w:val="single" w:sz="4" w:space="0" w:color="D3D3D3"/>
            </w:tcBorders>
            <w:shd w:val="clear" w:color="000000" w:fill="6E9ECA"/>
            <w:hideMark/>
          </w:tcPr>
          <w:p w14:paraId="36AF7F0B" w14:textId="77777777" w:rsidR="002528F9" w:rsidRPr="002528F9" w:rsidRDefault="002528F9" w:rsidP="002528F9">
            <w:pPr>
              <w:spacing w:after="0" w:line="240" w:lineRule="auto"/>
              <w:rPr>
                <w:rFonts w:ascii="Lato" w:eastAsia="Times New Roman" w:hAnsi="Lato" w:cs="Tahoma"/>
                <w:b/>
                <w:bCs/>
                <w:color w:val="FFFFFF"/>
                <w:sz w:val="18"/>
                <w:szCs w:val="18"/>
                <w:lang w:eastAsia="en-CA"/>
              </w:rPr>
            </w:pPr>
            <w:r w:rsidRPr="002528F9">
              <w:rPr>
                <w:rFonts w:ascii="Lato" w:eastAsia="Times New Roman" w:hAnsi="Lato" w:cs="Tahoma"/>
                <w:b/>
                <w:bCs/>
                <w:color w:val="FFFFFF"/>
                <w:sz w:val="18"/>
                <w:szCs w:val="18"/>
                <w:lang w:eastAsia="en-CA"/>
              </w:rPr>
              <w:t>Program</w:t>
            </w:r>
          </w:p>
        </w:tc>
        <w:tc>
          <w:tcPr>
            <w:tcW w:w="758" w:type="dxa"/>
            <w:tcBorders>
              <w:top w:val="single" w:sz="4" w:space="0" w:color="D3D3D3"/>
              <w:left w:val="nil"/>
              <w:bottom w:val="single" w:sz="4" w:space="0" w:color="D3D3D3"/>
              <w:right w:val="single" w:sz="4" w:space="0" w:color="D3D3D3"/>
            </w:tcBorders>
            <w:shd w:val="clear" w:color="000000" w:fill="6E9ECA"/>
            <w:hideMark/>
          </w:tcPr>
          <w:p w14:paraId="05A9979A"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JK</w:t>
            </w:r>
          </w:p>
        </w:tc>
        <w:tc>
          <w:tcPr>
            <w:tcW w:w="539" w:type="dxa"/>
            <w:tcBorders>
              <w:top w:val="single" w:sz="4" w:space="0" w:color="D3D3D3"/>
              <w:left w:val="nil"/>
              <w:bottom w:val="single" w:sz="4" w:space="0" w:color="D3D3D3"/>
              <w:right w:val="single" w:sz="4" w:space="0" w:color="D3D3D3"/>
            </w:tcBorders>
            <w:shd w:val="clear" w:color="000000" w:fill="6E9ECA"/>
            <w:hideMark/>
          </w:tcPr>
          <w:p w14:paraId="562990D0"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SK</w:t>
            </w:r>
          </w:p>
        </w:tc>
        <w:tc>
          <w:tcPr>
            <w:tcW w:w="567" w:type="dxa"/>
            <w:tcBorders>
              <w:top w:val="single" w:sz="4" w:space="0" w:color="D3D3D3"/>
              <w:left w:val="nil"/>
              <w:bottom w:val="single" w:sz="4" w:space="0" w:color="D3D3D3"/>
              <w:right w:val="single" w:sz="4" w:space="0" w:color="D3D3D3"/>
            </w:tcBorders>
            <w:shd w:val="clear" w:color="000000" w:fill="6E9ECA"/>
            <w:hideMark/>
          </w:tcPr>
          <w:p w14:paraId="13A5594D"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01</w:t>
            </w:r>
          </w:p>
        </w:tc>
        <w:tc>
          <w:tcPr>
            <w:tcW w:w="0" w:type="auto"/>
            <w:tcBorders>
              <w:top w:val="single" w:sz="4" w:space="0" w:color="D3D3D3"/>
              <w:left w:val="nil"/>
              <w:bottom w:val="single" w:sz="4" w:space="0" w:color="D3D3D3"/>
              <w:right w:val="single" w:sz="4" w:space="0" w:color="D3D3D3"/>
            </w:tcBorders>
            <w:shd w:val="clear" w:color="000000" w:fill="6E9ECA"/>
            <w:hideMark/>
          </w:tcPr>
          <w:p w14:paraId="495F9B5D"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02</w:t>
            </w:r>
          </w:p>
        </w:tc>
        <w:tc>
          <w:tcPr>
            <w:tcW w:w="0" w:type="auto"/>
            <w:tcBorders>
              <w:top w:val="single" w:sz="4" w:space="0" w:color="D3D3D3"/>
              <w:left w:val="nil"/>
              <w:bottom w:val="single" w:sz="4" w:space="0" w:color="D3D3D3"/>
              <w:right w:val="single" w:sz="4" w:space="0" w:color="D3D3D3"/>
            </w:tcBorders>
            <w:shd w:val="clear" w:color="000000" w:fill="6E9ECA"/>
            <w:hideMark/>
          </w:tcPr>
          <w:p w14:paraId="73D8280E"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03</w:t>
            </w:r>
          </w:p>
        </w:tc>
        <w:tc>
          <w:tcPr>
            <w:tcW w:w="0" w:type="auto"/>
            <w:tcBorders>
              <w:top w:val="single" w:sz="4" w:space="0" w:color="D3D3D3"/>
              <w:left w:val="nil"/>
              <w:bottom w:val="single" w:sz="4" w:space="0" w:color="D3D3D3"/>
              <w:right w:val="single" w:sz="4" w:space="0" w:color="D3D3D3"/>
            </w:tcBorders>
            <w:shd w:val="clear" w:color="000000" w:fill="6E9ECA"/>
            <w:hideMark/>
          </w:tcPr>
          <w:p w14:paraId="4685A928"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04</w:t>
            </w:r>
          </w:p>
        </w:tc>
        <w:tc>
          <w:tcPr>
            <w:tcW w:w="0" w:type="auto"/>
            <w:tcBorders>
              <w:top w:val="single" w:sz="4" w:space="0" w:color="D3D3D3"/>
              <w:left w:val="nil"/>
              <w:bottom w:val="single" w:sz="4" w:space="0" w:color="D3D3D3"/>
              <w:right w:val="single" w:sz="4" w:space="0" w:color="D3D3D3"/>
            </w:tcBorders>
            <w:shd w:val="clear" w:color="000000" w:fill="6E9ECA"/>
            <w:hideMark/>
          </w:tcPr>
          <w:p w14:paraId="10B737FB"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05</w:t>
            </w:r>
          </w:p>
        </w:tc>
        <w:tc>
          <w:tcPr>
            <w:tcW w:w="0" w:type="auto"/>
            <w:tcBorders>
              <w:top w:val="single" w:sz="4" w:space="0" w:color="D3D3D3"/>
              <w:left w:val="nil"/>
              <w:bottom w:val="single" w:sz="4" w:space="0" w:color="D3D3D3"/>
              <w:right w:val="single" w:sz="4" w:space="0" w:color="D3D3D3"/>
            </w:tcBorders>
            <w:shd w:val="clear" w:color="000000" w:fill="6E9ECA"/>
            <w:hideMark/>
          </w:tcPr>
          <w:p w14:paraId="5FEB407E"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06</w:t>
            </w:r>
          </w:p>
        </w:tc>
        <w:tc>
          <w:tcPr>
            <w:tcW w:w="0" w:type="auto"/>
            <w:tcBorders>
              <w:top w:val="single" w:sz="4" w:space="0" w:color="D3D3D3"/>
              <w:left w:val="nil"/>
              <w:bottom w:val="single" w:sz="4" w:space="0" w:color="D3D3D3"/>
              <w:right w:val="single" w:sz="4" w:space="0" w:color="D3D3D3"/>
            </w:tcBorders>
            <w:shd w:val="clear" w:color="000000" w:fill="6E9ECA"/>
            <w:hideMark/>
          </w:tcPr>
          <w:p w14:paraId="5F161756"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07</w:t>
            </w:r>
          </w:p>
        </w:tc>
        <w:tc>
          <w:tcPr>
            <w:tcW w:w="0" w:type="auto"/>
            <w:tcBorders>
              <w:top w:val="single" w:sz="4" w:space="0" w:color="D3D3D3"/>
              <w:left w:val="nil"/>
              <w:bottom w:val="single" w:sz="4" w:space="0" w:color="D3D3D3"/>
              <w:right w:val="single" w:sz="4" w:space="0" w:color="D3D3D3"/>
            </w:tcBorders>
            <w:shd w:val="clear" w:color="000000" w:fill="6E9ECA"/>
            <w:hideMark/>
          </w:tcPr>
          <w:p w14:paraId="6D8A17DB"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08</w:t>
            </w:r>
          </w:p>
        </w:tc>
        <w:tc>
          <w:tcPr>
            <w:tcW w:w="762" w:type="dxa"/>
            <w:tcBorders>
              <w:top w:val="single" w:sz="4" w:space="0" w:color="D3D3D3"/>
              <w:left w:val="nil"/>
              <w:bottom w:val="single" w:sz="4" w:space="0" w:color="D3D3D3"/>
              <w:right w:val="single" w:sz="4" w:space="0" w:color="D3D3D3"/>
            </w:tcBorders>
            <w:shd w:val="clear" w:color="000000" w:fill="6E9ECA"/>
            <w:hideMark/>
          </w:tcPr>
          <w:p w14:paraId="65C20FB0"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Total</w:t>
            </w:r>
          </w:p>
        </w:tc>
      </w:tr>
      <w:tr w:rsidR="00D25704" w:rsidRPr="002528F9" w14:paraId="0A884866"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281D0B46"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Bishop Alexander Carter (7-8)</w:t>
            </w:r>
          </w:p>
        </w:tc>
        <w:tc>
          <w:tcPr>
            <w:tcW w:w="1047" w:type="dxa"/>
            <w:tcBorders>
              <w:top w:val="nil"/>
              <w:left w:val="nil"/>
              <w:bottom w:val="single" w:sz="4" w:space="0" w:color="D3D3D3"/>
              <w:right w:val="single" w:sz="4" w:space="0" w:color="D3D3D3"/>
            </w:tcBorders>
            <w:shd w:val="clear" w:color="000000" w:fill="708090"/>
            <w:hideMark/>
          </w:tcPr>
          <w:p w14:paraId="7D464E9F" w14:textId="68F42D86"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R</w:t>
            </w:r>
            <w:r w:rsidR="00AD0D88">
              <w:rPr>
                <w:rFonts w:ascii="Lato" w:eastAsia="Times New Roman" w:hAnsi="Lato" w:cs="Tahoma"/>
                <w:color w:val="FFFFFF"/>
                <w:sz w:val="18"/>
                <w:szCs w:val="18"/>
                <w:lang w:eastAsia="en-CA"/>
              </w:rPr>
              <w:t>egular</w:t>
            </w:r>
          </w:p>
        </w:tc>
        <w:tc>
          <w:tcPr>
            <w:tcW w:w="758" w:type="dxa"/>
            <w:tcBorders>
              <w:top w:val="nil"/>
              <w:left w:val="nil"/>
              <w:bottom w:val="single" w:sz="4" w:space="0" w:color="D3D3D3"/>
              <w:right w:val="single" w:sz="4" w:space="0" w:color="D3D3D3"/>
            </w:tcBorders>
            <w:shd w:val="clear" w:color="auto" w:fill="auto"/>
            <w:vAlign w:val="center"/>
            <w:hideMark/>
          </w:tcPr>
          <w:p w14:paraId="0D4333E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nil"/>
              <w:left w:val="nil"/>
              <w:bottom w:val="single" w:sz="4" w:space="0" w:color="D3D3D3"/>
              <w:right w:val="single" w:sz="4" w:space="0" w:color="D3D3D3"/>
            </w:tcBorders>
            <w:shd w:val="clear" w:color="auto" w:fill="auto"/>
            <w:vAlign w:val="center"/>
            <w:hideMark/>
          </w:tcPr>
          <w:p w14:paraId="662C093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nil"/>
              <w:left w:val="nil"/>
              <w:bottom w:val="single" w:sz="4" w:space="0" w:color="D3D3D3"/>
              <w:right w:val="single" w:sz="4" w:space="0" w:color="D3D3D3"/>
            </w:tcBorders>
            <w:shd w:val="clear" w:color="auto" w:fill="auto"/>
            <w:vAlign w:val="center"/>
            <w:hideMark/>
          </w:tcPr>
          <w:p w14:paraId="4269DE4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7280B06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4DFBD66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515DF53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1C95A5E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340AAE7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18D2F3E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69 </w:t>
            </w:r>
          </w:p>
        </w:tc>
        <w:tc>
          <w:tcPr>
            <w:tcW w:w="0" w:type="auto"/>
            <w:tcBorders>
              <w:top w:val="nil"/>
              <w:left w:val="nil"/>
              <w:bottom w:val="single" w:sz="4" w:space="0" w:color="D3D3D3"/>
              <w:right w:val="single" w:sz="4" w:space="0" w:color="D3D3D3"/>
            </w:tcBorders>
            <w:shd w:val="clear" w:color="auto" w:fill="auto"/>
            <w:vAlign w:val="center"/>
            <w:hideMark/>
          </w:tcPr>
          <w:p w14:paraId="6FE2B58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91 </w:t>
            </w:r>
          </w:p>
        </w:tc>
        <w:tc>
          <w:tcPr>
            <w:tcW w:w="762" w:type="dxa"/>
            <w:tcBorders>
              <w:top w:val="nil"/>
              <w:left w:val="nil"/>
              <w:bottom w:val="single" w:sz="4" w:space="0" w:color="D3D3D3"/>
              <w:right w:val="single" w:sz="4" w:space="0" w:color="D3D3D3"/>
            </w:tcBorders>
            <w:shd w:val="clear" w:color="auto" w:fill="auto"/>
            <w:vAlign w:val="center"/>
            <w:hideMark/>
          </w:tcPr>
          <w:p w14:paraId="675A33F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160 </w:t>
            </w:r>
          </w:p>
        </w:tc>
      </w:tr>
      <w:tr w:rsidR="00D25704" w:rsidRPr="002528F9" w14:paraId="38F5921C"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294E3757"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Bishop Alexander Carter (7-8)</w:t>
            </w:r>
          </w:p>
        </w:tc>
        <w:tc>
          <w:tcPr>
            <w:tcW w:w="1047" w:type="dxa"/>
            <w:tcBorders>
              <w:top w:val="nil"/>
              <w:left w:val="nil"/>
              <w:bottom w:val="single" w:sz="4" w:space="0" w:color="D3D3D3"/>
              <w:right w:val="single" w:sz="4" w:space="0" w:color="D3D3D3"/>
            </w:tcBorders>
            <w:shd w:val="clear" w:color="000000" w:fill="708090"/>
            <w:hideMark/>
          </w:tcPr>
          <w:p w14:paraId="38ADC69E" w14:textId="2B15519C"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F</w:t>
            </w:r>
            <w:r w:rsidR="00AD0D88">
              <w:rPr>
                <w:rFonts w:ascii="Lato" w:eastAsia="Times New Roman" w:hAnsi="Lato" w:cs="Tahoma"/>
                <w:color w:val="FFFFFF"/>
                <w:sz w:val="18"/>
                <w:szCs w:val="18"/>
                <w:lang w:eastAsia="en-CA"/>
              </w:rPr>
              <w:t xml:space="preserve">rench </w:t>
            </w:r>
            <w:r w:rsidRPr="002528F9">
              <w:rPr>
                <w:rFonts w:ascii="Lato" w:eastAsia="Times New Roman" w:hAnsi="Lato" w:cs="Tahoma"/>
                <w:color w:val="FFFFFF"/>
                <w:sz w:val="18"/>
                <w:szCs w:val="18"/>
                <w:lang w:eastAsia="en-CA"/>
              </w:rPr>
              <w:t>I</w:t>
            </w:r>
            <w:r w:rsidR="00AD0D88">
              <w:rPr>
                <w:rFonts w:ascii="Lato" w:eastAsia="Times New Roman" w:hAnsi="Lato" w:cs="Tahoma"/>
                <w:color w:val="FFFFFF"/>
                <w:sz w:val="18"/>
                <w:szCs w:val="18"/>
                <w:lang w:eastAsia="en-CA"/>
              </w:rPr>
              <w:t>mmersion</w:t>
            </w:r>
          </w:p>
        </w:tc>
        <w:tc>
          <w:tcPr>
            <w:tcW w:w="758" w:type="dxa"/>
            <w:tcBorders>
              <w:top w:val="nil"/>
              <w:left w:val="nil"/>
              <w:bottom w:val="single" w:sz="4" w:space="0" w:color="D3D3D3"/>
              <w:right w:val="single" w:sz="4" w:space="0" w:color="D3D3D3"/>
            </w:tcBorders>
            <w:shd w:val="clear" w:color="auto" w:fill="auto"/>
            <w:vAlign w:val="center"/>
            <w:hideMark/>
          </w:tcPr>
          <w:p w14:paraId="7DA9763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nil"/>
              <w:left w:val="nil"/>
              <w:bottom w:val="single" w:sz="4" w:space="0" w:color="D3D3D3"/>
              <w:right w:val="single" w:sz="4" w:space="0" w:color="D3D3D3"/>
            </w:tcBorders>
            <w:shd w:val="clear" w:color="auto" w:fill="auto"/>
            <w:vAlign w:val="center"/>
            <w:hideMark/>
          </w:tcPr>
          <w:p w14:paraId="6928D52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nil"/>
              <w:left w:val="nil"/>
              <w:bottom w:val="single" w:sz="4" w:space="0" w:color="D3D3D3"/>
              <w:right w:val="single" w:sz="4" w:space="0" w:color="D3D3D3"/>
            </w:tcBorders>
            <w:shd w:val="clear" w:color="auto" w:fill="auto"/>
            <w:vAlign w:val="center"/>
            <w:hideMark/>
          </w:tcPr>
          <w:p w14:paraId="5E86036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563E204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2869EA3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024A007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6C00A49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6FB6A95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4D8A7A6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27 </w:t>
            </w:r>
          </w:p>
        </w:tc>
        <w:tc>
          <w:tcPr>
            <w:tcW w:w="0" w:type="auto"/>
            <w:tcBorders>
              <w:top w:val="nil"/>
              <w:left w:val="nil"/>
              <w:bottom w:val="single" w:sz="4" w:space="0" w:color="D3D3D3"/>
              <w:right w:val="single" w:sz="4" w:space="0" w:color="D3D3D3"/>
            </w:tcBorders>
            <w:shd w:val="clear" w:color="auto" w:fill="auto"/>
            <w:vAlign w:val="center"/>
            <w:hideMark/>
          </w:tcPr>
          <w:p w14:paraId="548632C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28 </w:t>
            </w:r>
          </w:p>
        </w:tc>
        <w:tc>
          <w:tcPr>
            <w:tcW w:w="762" w:type="dxa"/>
            <w:tcBorders>
              <w:top w:val="nil"/>
              <w:left w:val="nil"/>
              <w:bottom w:val="single" w:sz="4" w:space="0" w:color="D3D3D3"/>
              <w:right w:val="single" w:sz="4" w:space="0" w:color="D3D3D3"/>
            </w:tcBorders>
            <w:shd w:val="clear" w:color="auto" w:fill="auto"/>
            <w:vAlign w:val="center"/>
            <w:hideMark/>
          </w:tcPr>
          <w:p w14:paraId="3B57F8E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55 </w:t>
            </w:r>
          </w:p>
        </w:tc>
      </w:tr>
      <w:tr w:rsidR="00D25704" w:rsidRPr="002528F9" w14:paraId="046949D0"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3FF3193C"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6C1BDD33"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single" w:sz="4" w:space="0" w:color="auto"/>
              <w:left w:val="nil"/>
              <w:bottom w:val="single" w:sz="4" w:space="0" w:color="auto"/>
              <w:right w:val="single" w:sz="4" w:space="0" w:color="D3D3D3"/>
            </w:tcBorders>
            <w:shd w:val="clear" w:color="auto" w:fill="auto"/>
            <w:vAlign w:val="center"/>
            <w:hideMark/>
          </w:tcPr>
          <w:p w14:paraId="0401D58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539" w:type="dxa"/>
            <w:tcBorders>
              <w:top w:val="single" w:sz="4" w:space="0" w:color="auto"/>
              <w:left w:val="nil"/>
              <w:bottom w:val="single" w:sz="4" w:space="0" w:color="auto"/>
              <w:right w:val="single" w:sz="4" w:space="0" w:color="D3D3D3"/>
            </w:tcBorders>
            <w:shd w:val="clear" w:color="auto" w:fill="auto"/>
            <w:vAlign w:val="center"/>
            <w:hideMark/>
          </w:tcPr>
          <w:p w14:paraId="55697A6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567" w:type="dxa"/>
            <w:tcBorders>
              <w:top w:val="single" w:sz="4" w:space="0" w:color="auto"/>
              <w:left w:val="nil"/>
              <w:bottom w:val="single" w:sz="4" w:space="0" w:color="auto"/>
              <w:right w:val="single" w:sz="4" w:space="0" w:color="D3D3D3"/>
            </w:tcBorders>
            <w:shd w:val="clear" w:color="auto" w:fill="auto"/>
            <w:vAlign w:val="center"/>
            <w:hideMark/>
          </w:tcPr>
          <w:p w14:paraId="4A88A90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77C8C6C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6C7DE52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34CDF45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5C23BDB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6231147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0FEA883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96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3378C3A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119 </w:t>
            </w:r>
          </w:p>
        </w:tc>
        <w:tc>
          <w:tcPr>
            <w:tcW w:w="762" w:type="dxa"/>
            <w:tcBorders>
              <w:top w:val="single" w:sz="4" w:space="0" w:color="auto"/>
              <w:left w:val="nil"/>
              <w:bottom w:val="single" w:sz="4" w:space="0" w:color="auto"/>
              <w:right w:val="single" w:sz="4" w:space="0" w:color="D3D3D3"/>
            </w:tcBorders>
            <w:shd w:val="clear" w:color="auto" w:fill="auto"/>
            <w:vAlign w:val="center"/>
            <w:hideMark/>
          </w:tcPr>
          <w:p w14:paraId="3AF5D7E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215 </w:t>
            </w:r>
          </w:p>
        </w:tc>
      </w:tr>
      <w:tr w:rsidR="00D25704" w:rsidRPr="002528F9" w14:paraId="4AF087BF"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56415234"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22FB8416"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nil"/>
              <w:left w:val="nil"/>
              <w:bottom w:val="single" w:sz="4" w:space="0" w:color="D3D3D3"/>
              <w:right w:val="single" w:sz="4" w:space="0" w:color="D3D3D3"/>
            </w:tcBorders>
            <w:shd w:val="clear" w:color="auto" w:fill="auto"/>
            <w:vAlign w:val="center"/>
            <w:hideMark/>
          </w:tcPr>
          <w:p w14:paraId="260708C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single" w:sz="4" w:space="0" w:color="D3D3D3"/>
              <w:left w:val="nil"/>
              <w:bottom w:val="single" w:sz="4" w:space="0" w:color="D3D3D3"/>
              <w:right w:val="single" w:sz="4" w:space="0" w:color="D3D3D3"/>
            </w:tcBorders>
            <w:shd w:val="clear" w:color="auto" w:fill="auto"/>
            <w:vAlign w:val="center"/>
            <w:hideMark/>
          </w:tcPr>
          <w:p w14:paraId="76E76F8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single" w:sz="4" w:space="0" w:color="D3D3D3"/>
              <w:left w:val="nil"/>
              <w:bottom w:val="single" w:sz="4" w:space="0" w:color="D3D3D3"/>
              <w:right w:val="single" w:sz="4" w:space="0" w:color="D3D3D3"/>
            </w:tcBorders>
            <w:shd w:val="clear" w:color="auto" w:fill="auto"/>
            <w:vAlign w:val="center"/>
            <w:hideMark/>
          </w:tcPr>
          <w:p w14:paraId="27AEC70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7716B69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3D68285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5FE01E6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33FBCB0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5DA8DBC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3204546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6B260D7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single" w:sz="4" w:space="0" w:color="D3D3D3"/>
              <w:left w:val="nil"/>
              <w:bottom w:val="single" w:sz="4" w:space="0" w:color="D3D3D3"/>
              <w:right w:val="single" w:sz="4" w:space="0" w:color="D3D3D3"/>
            </w:tcBorders>
            <w:shd w:val="clear" w:color="auto" w:fill="auto"/>
            <w:vAlign w:val="center"/>
            <w:hideMark/>
          </w:tcPr>
          <w:p w14:paraId="2DDE79B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r>
      <w:tr w:rsidR="00D25704" w:rsidRPr="002528F9" w14:paraId="51BF8942"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0894868D"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Holy Cross</w:t>
            </w:r>
          </w:p>
        </w:tc>
        <w:tc>
          <w:tcPr>
            <w:tcW w:w="1047" w:type="dxa"/>
            <w:tcBorders>
              <w:top w:val="nil"/>
              <w:left w:val="nil"/>
              <w:bottom w:val="single" w:sz="4" w:space="0" w:color="D3D3D3"/>
              <w:right w:val="single" w:sz="4" w:space="0" w:color="D3D3D3"/>
            </w:tcBorders>
            <w:shd w:val="clear" w:color="000000" w:fill="708090"/>
            <w:hideMark/>
          </w:tcPr>
          <w:p w14:paraId="44FA92BC" w14:textId="149A99DC"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R</w:t>
            </w:r>
            <w:r w:rsidR="00AD0D88">
              <w:rPr>
                <w:rFonts w:ascii="Lato" w:eastAsia="Times New Roman" w:hAnsi="Lato" w:cs="Tahoma"/>
                <w:color w:val="FFFFFF"/>
                <w:sz w:val="18"/>
                <w:szCs w:val="18"/>
                <w:lang w:eastAsia="en-CA"/>
              </w:rPr>
              <w:t>egular</w:t>
            </w:r>
          </w:p>
        </w:tc>
        <w:tc>
          <w:tcPr>
            <w:tcW w:w="758" w:type="dxa"/>
            <w:tcBorders>
              <w:top w:val="nil"/>
              <w:left w:val="nil"/>
              <w:bottom w:val="single" w:sz="4" w:space="0" w:color="D3D3D3"/>
              <w:right w:val="single" w:sz="4" w:space="0" w:color="D3D3D3"/>
            </w:tcBorders>
            <w:shd w:val="clear" w:color="auto" w:fill="auto"/>
            <w:vAlign w:val="center"/>
            <w:hideMark/>
          </w:tcPr>
          <w:p w14:paraId="5BDC030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20 </w:t>
            </w:r>
          </w:p>
        </w:tc>
        <w:tc>
          <w:tcPr>
            <w:tcW w:w="539" w:type="dxa"/>
            <w:tcBorders>
              <w:top w:val="nil"/>
              <w:left w:val="nil"/>
              <w:bottom w:val="single" w:sz="4" w:space="0" w:color="D3D3D3"/>
              <w:right w:val="single" w:sz="4" w:space="0" w:color="D3D3D3"/>
            </w:tcBorders>
            <w:shd w:val="clear" w:color="auto" w:fill="auto"/>
            <w:vAlign w:val="center"/>
            <w:hideMark/>
          </w:tcPr>
          <w:p w14:paraId="226CD70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22 </w:t>
            </w:r>
          </w:p>
        </w:tc>
        <w:tc>
          <w:tcPr>
            <w:tcW w:w="567" w:type="dxa"/>
            <w:tcBorders>
              <w:top w:val="nil"/>
              <w:left w:val="nil"/>
              <w:bottom w:val="single" w:sz="4" w:space="0" w:color="D3D3D3"/>
              <w:right w:val="single" w:sz="4" w:space="0" w:color="D3D3D3"/>
            </w:tcBorders>
            <w:shd w:val="clear" w:color="auto" w:fill="auto"/>
            <w:vAlign w:val="center"/>
            <w:hideMark/>
          </w:tcPr>
          <w:p w14:paraId="4481AC7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23 </w:t>
            </w:r>
          </w:p>
        </w:tc>
        <w:tc>
          <w:tcPr>
            <w:tcW w:w="0" w:type="auto"/>
            <w:tcBorders>
              <w:top w:val="nil"/>
              <w:left w:val="nil"/>
              <w:bottom w:val="single" w:sz="4" w:space="0" w:color="D3D3D3"/>
              <w:right w:val="single" w:sz="4" w:space="0" w:color="D3D3D3"/>
            </w:tcBorders>
            <w:shd w:val="clear" w:color="auto" w:fill="auto"/>
            <w:vAlign w:val="center"/>
            <w:hideMark/>
          </w:tcPr>
          <w:p w14:paraId="3DC310C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14 </w:t>
            </w:r>
          </w:p>
        </w:tc>
        <w:tc>
          <w:tcPr>
            <w:tcW w:w="0" w:type="auto"/>
            <w:tcBorders>
              <w:top w:val="nil"/>
              <w:left w:val="nil"/>
              <w:bottom w:val="single" w:sz="4" w:space="0" w:color="D3D3D3"/>
              <w:right w:val="single" w:sz="4" w:space="0" w:color="D3D3D3"/>
            </w:tcBorders>
            <w:shd w:val="clear" w:color="auto" w:fill="auto"/>
            <w:vAlign w:val="center"/>
            <w:hideMark/>
          </w:tcPr>
          <w:p w14:paraId="7F6856B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22 </w:t>
            </w:r>
          </w:p>
        </w:tc>
        <w:tc>
          <w:tcPr>
            <w:tcW w:w="0" w:type="auto"/>
            <w:tcBorders>
              <w:top w:val="nil"/>
              <w:left w:val="nil"/>
              <w:bottom w:val="single" w:sz="4" w:space="0" w:color="D3D3D3"/>
              <w:right w:val="single" w:sz="4" w:space="0" w:color="D3D3D3"/>
            </w:tcBorders>
            <w:shd w:val="clear" w:color="auto" w:fill="auto"/>
            <w:vAlign w:val="center"/>
            <w:hideMark/>
          </w:tcPr>
          <w:p w14:paraId="60D2DCC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29 </w:t>
            </w:r>
          </w:p>
        </w:tc>
        <w:tc>
          <w:tcPr>
            <w:tcW w:w="0" w:type="auto"/>
            <w:tcBorders>
              <w:top w:val="nil"/>
              <w:left w:val="nil"/>
              <w:bottom w:val="single" w:sz="4" w:space="0" w:color="D3D3D3"/>
              <w:right w:val="single" w:sz="4" w:space="0" w:color="D3D3D3"/>
            </w:tcBorders>
            <w:shd w:val="clear" w:color="auto" w:fill="auto"/>
            <w:vAlign w:val="center"/>
            <w:hideMark/>
          </w:tcPr>
          <w:p w14:paraId="146CB0B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32 </w:t>
            </w:r>
          </w:p>
        </w:tc>
        <w:tc>
          <w:tcPr>
            <w:tcW w:w="0" w:type="auto"/>
            <w:tcBorders>
              <w:top w:val="nil"/>
              <w:left w:val="nil"/>
              <w:bottom w:val="single" w:sz="4" w:space="0" w:color="D3D3D3"/>
              <w:right w:val="single" w:sz="4" w:space="0" w:color="D3D3D3"/>
            </w:tcBorders>
            <w:shd w:val="clear" w:color="auto" w:fill="auto"/>
            <w:vAlign w:val="center"/>
            <w:hideMark/>
          </w:tcPr>
          <w:p w14:paraId="28C3F79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31 </w:t>
            </w:r>
          </w:p>
        </w:tc>
        <w:tc>
          <w:tcPr>
            <w:tcW w:w="0" w:type="auto"/>
            <w:tcBorders>
              <w:top w:val="nil"/>
              <w:left w:val="nil"/>
              <w:bottom w:val="single" w:sz="4" w:space="0" w:color="D3D3D3"/>
              <w:right w:val="single" w:sz="4" w:space="0" w:color="D3D3D3"/>
            </w:tcBorders>
            <w:shd w:val="clear" w:color="auto" w:fill="auto"/>
            <w:vAlign w:val="center"/>
            <w:hideMark/>
          </w:tcPr>
          <w:p w14:paraId="00FEC5B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48F386C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4186217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193 </w:t>
            </w:r>
          </w:p>
        </w:tc>
      </w:tr>
      <w:tr w:rsidR="00D25704" w:rsidRPr="002528F9" w14:paraId="443E12F3"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3C018271"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Holy Cross</w:t>
            </w:r>
          </w:p>
        </w:tc>
        <w:tc>
          <w:tcPr>
            <w:tcW w:w="1047" w:type="dxa"/>
            <w:tcBorders>
              <w:top w:val="nil"/>
              <w:left w:val="nil"/>
              <w:bottom w:val="single" w:sz="4" w:space="0" w:color="D3D3D3"/>
              <w:right w:val="single" w:sz="4" w:space="0" w:color="D3D3D3"/>
            </w:tcBorders>
            <w:shd w:val="clear" w:color="000000" w:fill="708090"/>
            <w:hideMark/>
          </w:tcPr>
          <w:p w14:paraId="20F5FE3F" w14:textId="5E635AFA"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F</w:t>
            </w:r>
            <w:r w:rsidR="00AD0D88">
              <w:rPr>
                <w:rFonts w:ascii="Lato" w:eastAsia="Times New Roman" w:hAnsi="Lato" w:cs="Tahoma"/>
                <w:color w:val="FFFFFF"/>
                <w:sz w:val="18"/>
                <w:szCs w:val="18"/>
                <w:lang w:eastAsia="en-CA"/>
              </w:rPr>
              <w:t>rench Immersion</w:t>
            </w:r>
          </w:p>
        </w:tc>
        <w:tc>
          <w:tcPr>
            <w:tcW w:w="758" w:type="dxa"/>
            <w:tcBorders>
              <w:top w:val="nil"/>
              <w:left w:val="nil"/>
              <w:bottom w:val="nil"/>
              <w:right w:val="single" w:sz="4" w:space="0" w:color="D3D3D3"/>
            </w:tcBorders>
            <w:shd w:val="clear" w:color="auto" w:fill="auto"/>
            <w:vAlign w:val="center"/>
            <w:hideMark/>
          </w:tcPr>
          <w:p w14:paraId="18277E8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25 </w:t>
            </w:r>
          </w:p>
        </w:tc>
        <w:tc>
          <w:tcPr>
            <w:tcW w:w="539" w:type="dxa"/>
            <w:tcBorders>
              <w:top w:val="nil"/>
              <w:left w:val="nil"/>
              <w:bottom w:val="single" w:sz="4" w:space="0" w:color="D3D3D3"/>
              <w:right w:val="single" w:sz="4" w:space="0" w:color="D3D3D3"/>
            </w:tcBorders>
            <w:shd w:val="clear" w:color="auto" w:fill="auto"/>
            <w:vAlign w:val="center"/>
            <w:hideMark/>
          </w:tcPr>
          <w:p w14:paraId="3E2D80A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27 </w:t>
            </w:r>
          </w:p>
        </w:tc>
        <w:tc>
          <w:tcPr>
            <w:tcW w:w="567" w:type="dxa"/>
            <w:tcBorders>
              <w:top w:val="nil"/>
              <w:left w:val="nil"/>
              <w:bottom w:val="single" w:sz="4" w:space="0" w:color="D3D3D3"/>
              <w:right w:val="single" w:sz="4" w:space="0" w:color="D3D3D3"/>
            </w:tcBorders>
            <w:shd w:val="clear" w:color="auto" w:fill="auto"/>
            <w:vAlign w:val="center"/>
            <w:hideMark/>
          </w:tcPr>
          <w:p w14:paraId="72ADFD7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22 </w:t>
            </w:r>
          </w:p>
        </w:tc>
        <w:tc>
          <w:tcPr>
            <w:tcW w:w="0" w:type="auto"/>
            <w:tcBorders>
              <w:top w:val="nil"/>
              <w:left w:val="nil"/>
              <w:bottom w:val="single" w:sz="4" w:space="0" w:color="D3D3D3"/>
              <w:right w:val="single" w:sz="4" w:space="0" w:color="D3D3D3"/>
            </w:tcBorders>
            <w:shd w:val="clear" w:color="auto" w:fill="auto"/>
            <w:vAlign w:val="center"/>
            <w:hideMark/>
          </w:tcPr>
          <w:p w14:paraId="17E23DF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29 </w:t>
            </w:r>
          </w:p>
        </w:tc>
        <w:tc>
          <w:tcPr>
            <w:tcW w:w="0" w:type="auto"/>
            <w:tcBorders>
              <w:top w:val="nil"/>
              <w:left w:val="nil"/>
              <w:bottom w:val="single" w:sz="4" w:space="0" w:color="D3D3D3"/>
              <w:right w:val="single" w:sz="4" w:space="0" w:color="D3D3D3"/>
            </w:tcBorders>
            <w:shd w:val="clear" w:color="auto" w:fill="auto"/>
            <w:vAlign w:val="center"/>
            <w:hideMark/>
          </w:tcPr>
          <w:p w14:paraId="5D6FDDF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26 </w:t>
            </w:r>
          </w:p>
        </w:tc>
        <w:tc>
          <w:tcPr>
            <w:tcW w:w="0" w:type="auto"/>
            <w:tcBorders>
              <w:top w:val="nil"/>
              <w:left w:val="nil"/>
              <w:bottom w:val="single" w:sz="4" w:space="0" w:color="D3D3D3"/>
              <w:right w:val="single" w:sz="4" w:space="0" w:color="D3D3D3"/>
            </w:tcBorders>
            <w:shd w:val="clear" w:color="auto" w:fill="auto"/>
            <w:vAlign w:val="center"/>
            <w:hideMark/>
          </w:tcPr>
          <w:p w14:paraId="27A2E6C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26 </w:t>
            </w:r>
          </w:p>
        </w:tc>
        <w:tc>
          <w:tcPr>
            <w:tcW w:w="0" w:type="auto"/>
            <w:tcBorders>
              <w:top w:val="nil"/>
              <w:left w:val="nil"/>
              <w:bottom w:val="single" w:sz="4" w:space="0" w:color="D3D3D3"/>
              <w:right w:val="single" w:sz="4" w:space="0" w:color="D3D3D3"/>
            </w:tcBorders>
            <w:shd w:val="clear" w:color="auto" w:fill="auto"/>
            <w:vAlign w:val="center"/>
            <w:hideMark/>
          </w:tcPr>
          <w:p w14:paraId="2F7D4EC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28 </w:t>
            </w:r>
          </w:p>
        </w:tc>
        <w:tc>
          <w:tcPr>
            <w:tcW w:w="0" w:type="auto"/>
            <w:tcBorders>
              <w:top w:val="nil"/>
              <w:left w:val="nil"/>
              <w:bottom w:val="single" w:sz="4" w:space="0" w:color="D3D3D3"/>
              <w:right w:val="single" w:sz="4" w:space="0" w:color="D3D3D3"/>
            </w:tcBorders>
            <w:shd w:val="clear" w:color="auto" w:fill="auto"/>
            <w:vAlign w:val="center"/>
            <w:hideMark/>
          </w:tcPr>
          <w:p w14:paraId="75439E8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12 </w:t>
            </w:r>
          </w:p>
        </w:tc>
        <w:tc>
          <w:tcPr>
            <w:tcW w:w="0" w:type="auto"/>
            <w:tcBorders>
              <w:top w:val="nil"/>
              <w:left w:val="nil"/>
              <w:bottom w:val="single" w:sz="4" w:space="0" w:color="D3D3D3"/>
              <w:right w:val="single" w:sz="4" w:space="0" w:color="D3D3D3"/>
            </w:tcBorders>
            <w:shd w:val="clear" w:color="auto" w:fill="auto"/>
            <w:vAlign w:val="center"/>
            <w:hideMark/>
          </w:tcPr>
          <w:p w14:paraId="3E266FE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639F9AF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7D0858A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195 </w:t>
            </w:r>
          </w:p>
        </w:tc>
      </w:tr>
      <w:tr w:rsidR="00D25704" w:rsidRPr="002528F9" w14:paraId="6235F705"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1C69E01A"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24C70789"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single" w:sz="4" w:space="0" w:color="auto"/>
              <w:left w:val="nil"/>
              <w:bottom w:val="single" w:sz="4" w:space="0" w:color="auto"/>
              <w:right w:val="single" w:sz="4" w:space="0" w:color="D3D3D3"/>
            </w:tcBorders>
            <w:shd w:val="clear" w:color="auto" w:fill="auto"/>
            <w:vAlign w:val="center"/>
            <w:hideMark/>
          </w:tcPr>
          <w:p w14:paraId="0278CE3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45 </w:t>
            </w:r>
          </w:p>
        </w:tc>
        <w:tc>
          <w:tcPr>
            <w:tcW w:w="539" w:type="dxa"/>
            <w:tcBorders>
              <w:top w:val="single" w:sz="4" w:space="0" w:color="auto"/>
              <w:left w:val="nil"/>
              <w:bottom w:val="single" w:sz="4" w:space="0" w:color="auto"/>
              <w:right w:val="single" w:sz="4" w:space="0" w:color="D3D3D3"/>
            </w:tcBorders>
            <w:shd w:val="clear" w:color="auto" w:fill="auto"/>
            <w:vAlign w:val="center"/>
            <w:hideMark/>
          </w:tcPr>
          <w:p w14:paraId="6F8AE2D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49 </w:t>
            </w:r>
          </w:p>
        </w:tc>
        <w:tc>
          <w:tcPr>
            <w:tcW w:w="567" w:type="dxa"/>
            <w:tcBorders>
              <w:top w:val="single" w:sz="4" w:space="0" w:color="auto"/>
              <w:left w:val="nil"/>
              <w:bottom w:val="single" w:sz="4" w:space="0" w:color="auto"/>
              <w:right w:val="single" w:sz="4" w:space="0" w:color="D3D3D3"/>
            </w:tcBorders>
            <w:shd w:val="clear" w:color="auto" w:fill="auto"/>
            <w:vAlign w:val="center"/>
            <w:hideMark/>
          </w:tcPr>
          <w:p w14:paraId="3E2D8FC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45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74F09F5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43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4E1D268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48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4F5C71D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55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2888530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60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10E5C1B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43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5944FCE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46A6A34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762" w:type="dxa"/>
            <w:tcBorders>
              <w:top w:val="single" w:sz="4" w:space="0" w:color="auto"/>
              <w:left w:val="nil"/>
              <w:bottom w:val="single" w:sz="4" w:space="0" w:color="auto"/>
              <w:right w:val="single" w:sz="4" w:space="0" w:color="D3D3D3"/>
            </w:tcBorders>
            <w:shd w:val="clear" w:color="auto" w:fill="auto"/>
            <w:vAlign w:val="center"/>
            <w:hideMark/>
          </w:tcPr>
          <w:p w14:paraId="01D1A1B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388 </w:t>
            </w:r>
          </w:p>
        </w:tc>
      </w:tr>
      <w:tr w:rsidR="00D25704" w:rsidRPr="002528F9" w14:paraId="2EDC16F3"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4B52593A"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3135F1D2"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nil"/>
              <w:left w:val="nil"/>
              <w:bottom w:val="single" w:sz="4" w:space="0" w:color="D3D3D3"/>
              <w:right w:val="single" w:sz="4" w:space="0" w:color="D3D3D3"/>
            </w:tcBorders>
            <w:shd w:val="clear" w:color="auto" w:fill="auto"/>
            <w:vAlign w:val="center"/>
            <w:hideMark/>
          </w:tcPr>
          <w:p w14:paraId="7D8AC06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single" w:sz="4" w:space="0" w:color="D3D3D3"/>
              <w:left w:val="nil"/>
              <w:bottom w:val="single" w:sz="4" w:space="0" w:color="D3D3D3"/>
              <w:right w:val="single" w:sz="4" w:space="0" w:color="D3D3D3"/>
            </w:tcBorders>
            <w:shd w:val="clear" w:color="auto" w:fill="auto"/>
            <w:vAlign w:val="center"/>
            <w:hideMark/>
          </w:tcPr>
          <w:p w14:paraId="4F043BA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single" w:sz="4" w:space="0" w:color="D3D3D3"/>
              <w:left w:val="nil"/>
              <w:bottom w:val="single" w:sz="4" w:space="0" w:color="D3D3D3"/>
              <w:right w:val="single" w:sz="4" w:space="0" w:color="D3D3D3"/>
            </w:tcBorders>
            <w:shd w:val="clear" w:color="auto" w:fill="auto"/>
            <w:vAlign w:val="center"/>
            <w:hideMark/>
          </w:tcPr>
          <w:p w14:paraId="7072839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742FEC1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6D81D28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28755AB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392696D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1876A1C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1A2A4FE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6448124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single" w:sz="4" w:space="0" w:color="D3D3D3"/>
              <w:left w:val="nil"/>
              <w:bottom w:val="single" w:sz="4" w:space="0" w:color="D3D3D3"/>
              <w:right w:val="single" w:sz="4" w:space="0" w:color="D3D3D3"/>
            </w:tcBorders>
            <w:shd w:val="clear" w:color="auto" w:fill="auto"/>
            <w:vAlign w:val="center"/>
            <w:hideMark/>
          </w:tcPr>
          <w:p w14:paraId="3BF1307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r>
      <w:tr w:rsidR="00D25704" w:rsidRPr="002528F9" w14:paraId="74DE4BB4"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4C692F16"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Holy Trinity</w:t>
            </w:r>
          </w:p>
        </w:tc>
        <w:tc>
          <w:tcPr>
            <w:tcW w:w="1047" w:type="dxa"/>
            <w:tcBorders>
              <w:top w:val="nil"/>
              <w:left w:val="nil"/>
              <w:bottom w:val="single" w:sz="4" w:space="0" w:color="D3D3D3"/>
              <w:right w:val="single" w:sz="4" w:space="0" w:color="D3D3D3"/>
            </w:tcBorders>
            <w:shd w:val="clear" w:color="000000" w:fill="708090"/>
            <w:hideMark/>
          </w:tcPr>
          <w:p w14:paraId="7A402B6A" w14:textId="4B23B404"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R</w:t>
            </w:r>
            <w:r w:rsidR="00AD0D88">
              <w:rPr>
                <w:rFonts w:ascii="Lato" w:eastAsia="Times New Roman" w:hAnsi="Lato" w:cs="Tahoma"/>
                <w:color w:val="FFFFFF"/>
                <w:sz w:val="18"/>
                <w:szCs w:val="18"/>
                <w:lang w:eastAsia="en-CA"/>
              </w:rPr>
              <w:t>egular</w:t>
            </w:r>
          </w:p>
        </w:tc>
        <w:tc>
          <w:tcPr>
            <w:tcW w:w="758" w:type="dxa"/>
            <w:tcBorders>
              <w:top w:val="nil"/>
              <w:left w:val="nil"/>
              <w:bottom w:val="single" w:sz="4" w:space="0" w:color="D3D3D3"/>
              <w:right w:val="single" w:sz="4" w:space="0" w:color="D3D3D3"/>
            </w:tcBorders>
            <w:shd w:val="clear" w:color="auto" w:fill="auto"/>
            <w:vAlign w:val="center"/>
            <w:hideMark/>
          </w:tcPr>
          <w:p w14:paraId="0ACE8C3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33 </w:t>
            </w:r>
          </w:p>
        </w:tc>
        <w:tc>
          <w:tcPr>
            <w:tcW w:w="539" w:type="dxa"/>
            <w:tcBorders>
              <w:top w:val="nil"/>
              <w:left w:val="nil"/>
              <w:bottom w:val="single" w:sz="4" w:space="0" w:color="D3D3D3"/>
              <w:right w:val="single" w:sz="4" w:space="0" w:color="D3D3D3"/>
            </w:tcBorders>
            <w:shd w:val="clear" w:color="auto" w:fill="auto"/>
            <w:vAlign w:val="center"/>
            <w:hideMark/>
          </w:tcPr>
          <w:p w14:paraId="30E562C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23 </w:t>
            </w:r>
          </w:p>
        </w:tc>
        <w:tc>
          <w:tcPr>
            <w:tcW w:w="567" w:type="dxa"/>
            <w:tcBorders>
              <w:top w:val="nil"/>
              <w:left w:val="nil"/>
              <w:bottom w:val="single" w:sz="4" w:space="0" w:color="D3D3D3"/>
              <w:right w:val="single" w:sz="4" w:space="0" w:color="D3D3D3"/>
            </w:tcBorders>
            <w:shd w:val="clear" w:color="auto" w:fill="auto"/>
            <w:vAlign w:val="center"/>
            <w:hideMark/>
          </w:tcPr>
          <w:p w14:paraId="6B0A8B5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48 </w:t>
            </w:r>
          </w:p>
        </w:tc>
        <w:tc>
          <w:tcPr>
            <w:tcW w:w="0" w:type="auto"/>
            <w:tcBorders>
              <w:top w:val="nil"/>
              <w:left w:val="nil"/>
              <w:bottom w:val="single" w:sz="4" w:space="0" w:color="D3D3D3"/>
              <w:right w:val="single" w:sz="4" w:space="0" w:color="D3D3D3"/>
            </w:tcBorders>
            <w:shd w:val="clear" w:color="auto" w:fill="auto"/>
            <w:vAlign w:val="center"/>
            <w:hideMark/>
          </w:tcPr>
          <w:p w14:paraId="0E903A7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57 </w:t>
            </w:r>
          </w:p>
        </w:tc>
        <w:tc>
          <w:tcPr>
            <w:tcW w:w="0" w:type="auto"/>
            <w:tcBorders>
              <w:top w:val="nil"/>
              <w:left w:val="nil"/>
              <w:bottom w:val="single" w:sz="4" w:space="0" w:color="D3D3D3"/>
              <w:right w:val="single" w:sz="4" w:space="0" w:color="D3D3D3"/>
            </w:tcBorders>
            <w:shd w:val="clear" w:color="auto" w:fill="auto"/>
            <w:vAlign w:val="center"/>
            <w:hideMark/>
          </w:tcPr>
          <w:p w14:paraId="4E1E863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52 </w:t>
            </w:r>
          </w:p>
        </w:tc>
        <w:tc>
          <w:tcPr>
            <w:tcW w:w="0" w:type="auto"/>
            <w:tcBorders>
              <w:top w:val="nil"/>
              <w:left w:val="nil"/>
              <w:bottom w:val="single" w:sz="4" w:space="0" w:color="D3D3D3"/>
              <w:right w:val="single" w:sz="4" w:space="0" w:color="D3D3D3"/>
            </w:tcBorders>
            <w:shd w:val="clear" w:color="auto" w:fill="auto"/>
            <w:vAlign w:val="center"/>
            <w:hideMark/>
          </w:tcPr>
          <w:p w14:paraId="041000A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59 </w:t>
            </w:r>
          </w:p>
        </w:tc>
        <w:tc>
          <w:tcPr>
            <w:tcW w:w="0" w:type="auto"/>
            <w:tcBorders>
              <w:top w:val="nil"/>
              <w:left w:val="nil"/>
              <w:bottom w:val="single" w:sz="4" w:space="0" w:color="D3D3D3"/>
              <w:right w:val="single" w:sz="4" w:space="0" w:color="D3D3D3"/>
            </w:tcBorders>
            <w:shd w:val="clear" w:color="auto" w:fill="auto"/>
            <w:vAlign w:val="center"/>
            <w:hideMark/>
          </w:tcPr>
          <w:p w14:paraId="74F5557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53 </w:t>
            </w:r>
          </w:p>
        </w:tc>
        <w:tc>
          <w:tcPr>
            <w:tcW w:w="0" w:type="auto"/>
            <w:tcBorders>
              <w:top w:val="nil"/>
              <w:left w:val="nil"/>
              <w:bottom w:val="single" w:sz="4" w:space="0" w:color="D3D3D3"/>
              <w:right w:val="single" w:sz="4" w:space="0" w:color="D3D3D3"/>
            </w:tcBorders>
            <w:shd w:val="clear" w:color="auto" w:fill="auto"/>
            <w:vAlign w:val="center"/>
            <w:hideMark/>
          </w:tcPr>
          <w:p w14:paraId="02DB9CE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57 </w:t>
            </w:r>
          </w:p>
        </w:tc>
        <w:tc>
          <w:tcPr>
            <w:tcW w:w="0" w:type="auto"/>
            <w:tcBorders>
              <w:top w:val="nil"/>
              <w:left w:val="nil"/>
              <w:bottom w:val="single" w:sz="4" w:space="0" w:color="D3D3D3"/>
              <w:right w:val="single" w:sz="4" w:space="0" w:color="D3D3D3"/>
            </w:tcBorders>
            <w:shd w:val="clear" w:color="auto" w:fill="auto"/>
            <w:vAlign w:val="center"/>
            <w:hideMark/>
          </w:tcPr>
          <w:p w14:paraId="3E20180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7046758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5A1864C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382 </w:t>
            </w:r>
          </w:p>
        </w:tc>
      </w:tr>
      <w:tr w:rsidR="00D25704" w:rsidRPr="002528F9" w14:paraId="786CDCF1"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0F0B2172"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Holy Trinity</w:t>
            </w:r>
          </w:p>
        </w:tc>
        <w:tc>
          <w:tcPr>
            <w:tcW w:w="1047" w:type="dxa"/>
            <w:tcBorders>
              <w:top w:val="nil"/>
              <w:left w:val="nil"/>
              <w:bottom w:val="single" w:sz="4" w:space="0" w:color="D3D3D3"/>
              <w:right w:val="single" w:sz="4" w:space="0" w:color="D3D3D3"/>
            </w:tcBorders>
            <w:shd w:val="clear" w:color="000000" w:fill="708090"/>
            <w:hideMark/>
          </w:tcPr>
          <w:p w14:paraId="390EB901" w14:textId="50B5BBDE"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F</w:t>
            </w:r>
            <w:r w:rsidR="00AD0D88">
              <w:rPr>
                <w:rFonts w:ascii="Lato" w:eastAsia="Times New Roman" w:hAnsi="Lato" w:cs="Tahoma"/>
                <w:color w:val="FFFFFF"/>
                <w:sz w:val="18"/>
                <w:szCs w:val="18"/>
                <w:lang w:eastAsia="en-CA"/>
              </w:rPr>
              <w:t>rench Immersion</w:t>
            </w:r>
          </w:p>
        </w:tc>
        <w:tc>
          <w:tcPr>
            <w:tcW w:w="758" w:type="dxa"/>
            <w:tcBorders>
              <w:top w:val="nil"/>
              <w:left w:val="nil"/>
              <w:bottom w:val="nil"/>
              <w:right w:val="single" w:sz="4" w:space="0" w:color="D3D3D3"/>
            </w:tcBorders>
            <w:shd w:val="clear" w:color="auto" w:fill="auto"/>
            <w:vAlign w:val="center"/>
            <w:hideMark/>
          </w:tcPr>
          <w:p w14:paraId="04DC23B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29 </w:t>
            </w:r>
          </w:p>
        </w:tc>
        <w:tc>
          <w:tcPr>
            <w:tcW w:w="539" w:type="dxa"/>
            <w:tcBorders>
              <w:top w:val="nil"/>
              <w:left w:val="nil"/>
              <w:bottom w:val="single" w:sz="4" w:space="0" w:color="D3D3D3"/>
              <w:right w:val="single" w:sz="4" w:space="0" w:color="D3D3D3"/>
            </w:tcBorders>
            <w:shd w:val="clear" w:color="auto" w:fill="auto"/>
            <w:vAlign w:val="center"/>
            <w:hideMark/>
          </w:tcPr>
          <w:p w14:paraId="0C541BB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34 </w:t>
            </w:r>
          </w:p>
        </w:tc>
        <w:tc>
          <w:tcPr>
            <w:tcW w:w="567" w:type="dxa"/>
            <w:tcBorders>
              <w:top w:val="nil"/>
              <w:left w:val="nil"/>
              <w:bottom w:val="single" w:sz="4" w:space="0" w:color="D3D3D3"/>
              <w:right w:val="single" w:sz="4" w:space="0" w:color="D3D3D3"/>
            </w:tcBorders>
            <w:shd w:val="clear" w:color="auto" w:fill="auto"/>
            <w:vAlign w:val="center"/>
            <w:hideMark/>
          </w:tcPr>
          <w:p w14:paraId="11B7562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31 </w:t>
            </w:r>
          </w:p>
        </w:tc>
        <w:tc>
          <w:tcPr>
            <w:tcW w:w="0" w:type="auto"/>
            <w:tcBorders>
              <w:top w:val="nil"/>
              <w:left w:val="nil"/>
              <w:bottom w:val="single" w:sz="4" w:space="0" w:color="D3D3D3"/>
              <w:right w:val="single" w:sz="4" w:space="0" w:color="D3D3D3"/>
            </w:tcBorders>
            <w:shd w:val="clear" w:color="auto" w:fill="auto"/>
            <w:vAlign w:val="center"/>
            <w:hideMark/>
          </w:tcPr>
          <w:p w14:paraId="4171E65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33 </w:t>
            </w:r>
          </w:p>
        </w:tc>
        <w:tc>
          <w:tcPr>
            <w:tcW w:w="0" w:type="auto"/>
            <w:tcBorders>
              <w:top w:val="nil"/>
              <w:left w:val="nil"/>
              <w:bottom w:val="single" w:sz="4" w:space="0" w:color="D3D3D3"/>
              <w:right w:val="single" w:sz="4" w:space="0" w:color="D3D3D3"/>
            </w:tcBorders>
            <w:shd w:val="clear" w:color="auto" w:fill="auto"/>
            <w:vAlign w:val="center"/>
            <w:hideMark/>
          </w:tcPr>
          <w:p w14:paraId="499FA52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29 </w:t>
            </w:r>
          </w:p>
        </w:tc>
        <w:tc>
          <w:tcPr>
            <w:tcW w:w="0" w:type="auto"/>
            <w:tcBorders>
              <w:top w:val="nil"/>
              <w:left w:val="nil"/>
              <w:bottom w:val="single" w:sz="4" w:space="0" w:color="D3D3D3"/>
              <w:right w:val="single" w:sz="4" w:space="0" w:color="D3D3D3"/>
            </w:tcBorders>
            <w:shd w:val="clear" w:color="auto" w:fill="auto"/>
            <w:vAlign w:val="center"/>
            <w:hideMark/>
          </w:tcPr>
          <w:p w14:paraId="0C9080F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20 </w:t>
            </w:r>
          </w:p>
        </w:tc>
        <w:tc>
          <w:tcPr>
            <w:tcW w:w="0" w:type="auto"/>
            <w:tcBorders>
              <w:top w:val="nil"/>
              <w:left w:val="nil"/>
              <w:bottom w:val="single" w:sz="4" w:space="0" w:color="D3D3D3"/>
              <w:right w:val="single" w:sz="4" w:space="0" w:color="D3D3D3"/>
            </w:tcBorders>
            <w:shd w:val="clear" w:color="auto" w:fill="auto"/>
            <w:vAlign w:val="center"/>
            <w:hideMark/>
          </w:tcPr>
          <w:p w14:paraId="1EAF965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27 </w:t>
            </w:r>
          </w:p>
        </w:tc>
        <w:tc>
          <w:tcPr>
            <w:tcW w:w="0" w:type="auto"/>
            <w:tcBorders>
              <w:top w:val="nil"/>
              <w:left w:val="nil"/>
              <w:bottom w:val="single" w:sz="4" w:space="0" w:color="D3D3D3"/>
              <w:right w:val="single" w:sz="4" w:space="0" w:color="D3D3D3"/>
            </w:tcBorders>
            <w:shd w:val="clear" w:color="auto" w:fill="auto"/>
            <w:vAlign w:val="center"/>
            <w:hideMark/>
          </w:tcPr>
          <w:p w14:paraId="5127339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11 </w:t>
            </w:r>
          </w:p>
        </w:tc>
        <w:tc>
          <w:tcPr>
            <w:tcW w:w="0" w:type="auto"/>
            <w:tcBorders>
              <w:top w:val="nil"/>
              <w:left w:val="nil"/>
              <w:bottom w:val="single" w:sz="4" w:space="0" w:color="D3D3D3"/>
              <w:right w:val="single" w:sz="4" w:space="0" w:color="D3D3D3"/>
            </w:tcBorders>
            <w:shd w:val="clear" w:color="auto" w:fill="auto"/>
            <w:vAlign w:val="center"/>
            <w:hideMark/>
          </w:tcPr>
          <w:p w14:paraId="67F2F33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6E6A144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769976B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214 </w:t>
            </w:r>
          </w:p>
        </w:tc>
      </w:tr>
      <w:tr w:rsidR="00D25704" w:rsidRPr="002528F9" w14:paraId="51C2E3D0"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0364F0E2"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5279ADCC"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single" w:sz="4" w:space="0" w:color="auto"/>
              <w:left w:val="nil"/>
              <w:bottom w:val="single" w:sz="4" w:space="0" w:color="auto"/>
              <w:right w:val="single" w:sz="4" w:space="0" w:color="D3D3D3"/>
            </w:tcBorders>
            <w:shd w:val="clear" w:color="auto" w:fill="auto"/>
            <w:vAlign w:val="center"/>
            <w:hideMark/>
          </w:tcPr>
          <w:p w14:paraId="210D3E9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62 </w:t>
            </w:r>
          </w:p>
        </w:tc>
        <w:tc>
          <w:tcPr>
            <w:tcW w:w="539" w:type="dxa"/>
            <w:tcBorders>
              <w:top w:val="single" w:sz="4" w:space="0" w:color="auto"/>
              <w:left w:val="nil"/>
              <w:bottom w:val="single" w:sz="4" w:space="0" w:color="auto"/>
              <w:right w:val="single" w:sz="4" w:space="0" w:color="D3D3D3"/>
            </w:tcBorders>
            <w:shd w:val="clear" w:color="auto" w:fill="auto"/>
            <w:vAlign w:val="center"/>
            <w:hideMark/>
          </w:tcPr>
          <w:p w14:paraId="14269AF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57 </w:t>
            </w:r>
          </w:p>
        </w:tc>
        <w:tc>
          <w:tcPr>
            <w:tcW w:w="567" w:type="dxa"/>
            <w:tcBorders>
              <w:top w:val="single" w:sz="4" w:space="0" w:color="auto"/>
              <w:left w:val="nil"/>
              <w:bottom w:val="single" w:sz="4" w:space="0" w:color="auto"/>
              <w:right w:val="single" w:sz="4" w:space="0" w:color="D3D3D3"/>
            </w:tcBorders>
            <w:shd w:val="clear" w:color="auto" w:fill="auto"/>
            <w:vAlign w:val="center"/>
            <w:hideMark/>
          </w:tcPr>
          <w:p w14:paraId="2812EDF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79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793FCB1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90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1F5FDBB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81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3B7D071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79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4685269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80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7D263BA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68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3ECB7CD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1F8111A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762" w:type="dxa"/>
            <w:tcBorders>
              <w:top w:val="single" w:sz="4" w:space="0" w:color="auto"/>
              <w:left w:val="nil"/>
              <w:bottom w:val="single" w:sz="4" w:space="0" w:color="auto"/>
              <w:right w:val="single" w:sz="4" w:space="0" w:color="D3D3D3"/>
            </w:tcBorders>
            <w:shd w:val="clear" w:color="auto" w:fill="auto"/>
            <w:vAlign w:val="center"/>
            <w:hideMark/>
          </w:tcPr>
          <w:p w14:paraId="358F33C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596 </w:t>
            </w:r>
          </w:p>
        </w:tc>
      </w:tr>
      <w:tr w:rsidR="00D25704" w:rsidRPr="002528F9" w14:paraId="7F4ED0B4"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3CAA8013"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740026C0"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nil"/>
              <w:left w:val="nil"/>
              <w:bottom w:val="single" w:sz="4" w:space="0" w:color="D3D3D3"/>
              <w:right w:val="single" w:sz="4" w:space="0" w:color="D3D3D3"/>
            </w:tcBorders>
            <w:shd w:val="clear" w:color="auto" w:fill="auto"/>
            <w:vAlign w:val="center"/>
            <w:hideMark/>
          </w:tcPr>
          <w:p w14:paraId="44DB896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single" w:sz="4" w:space="0" w:color="D3D3D3"/>
              <w:left w:val="nil"/>
              <w:bottom w:val="single" w:sz="4" w:space="0" w:color="D3D3D3"/>
              <w:right w:val="single" w:sz="4" w:space="0" w:color="D3D3D3"/>
            </w:tcBorders>
            <w:shd w:val="clear" w:color="auto" w:fill="auto"/>
            <w:vAlign w:val="center"/>
            <w:hideMark/>
          </w:tcPr>
          <w:p w14:paraId="35327BB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single" w:sz="4" w:space="0" w:color="D3D3D3"/>
              <w:left w:val="nil"/>
              <w:bottom w:val="single" w:sz="4" w:space="0" w:color="D3D3D3"/>
              <w:right w:val="single" w:sz="4" w:space="0" w:color="D3D3D3"/>
            </w:tcBorders>
            <w:shd w:val="clear" w:color="auto" w:fill="auto"/>
            <w:vAlign w:val="center"/>
            <w:hideMark/>
          </w:tcPr>
          <w:p w14:paraId="6CC0489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27AE668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68A1465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0E14D2B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4FE3D50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726F2EC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2E62509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0CBAE25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single" w:sz="4" w:space="0" w:color="D3D3D3"/>
              <w:left w:val="nil"/>
              <w:bottom w:val="single" w:sz="4" w:space="0" w:color="D3D3D3"/>
              <w:right w:val="single" w:sz="4" w:space="0" w:color="D3D3D3"/>
            </w:tcBorders>
            <w:shd w:val="clear" w:color="auto" w:fill="auto"/>
            <w:vAlign w:val="center"/>
            <w:hideMark/>
          </w:tcPr>
          <w:p w14:paraId="788AC90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r>
      <w:tr w:rsidR="00D25704" w:rsidRPr="002528F9" w14:paraId="26F58A7F"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0DA98E64"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Immaculate Conception</w:t>
            </w:r>
          </w:p>
        </w:tc>
        <w:tc>
          <w:tcPr>
            <w:tcW w:w="1047" w:type="dxa"/>
            <w:tcBorders>
              <w:top w:val="nil"/>
              <w:left w:val="nil"/>
              <w:bottom w:val="single" w:sz="4" w:space="0" w:color="D3D3D3"/>
              <w:right w:val="single" w:sz="4" w:space="0" w:color="D3D3D3"/>
            </w:tcBorders>
            <w:shd w:val="clear" w:color="000000" w:fill="708090"/>
            <w:hideMark/>
          </w:tcPr>
          <w:p w14:paraId="3CC855B0" w14:textId="00E014FD"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R</w:t>
            </w:r>
            <w:r w:rsidR="00AD0D88">
              <w:rPr>
                <w:rFonts w:ascii="Lato" w:eastAsia="Times New Roman" w:hAnsi="Lato" w:cs="Tahoma"/>
                <w:color w:val="FFFFFF"/>
                <w:sz w:val="18"/>
                <w:szCs w:val="18"/>
                <w:lang w:eastAsia="en-CA"/>
              </w:rPr>
              <w:t>egular</w:t>
            </w:r>
          </w:p>
        </w:tc>
        <w:tc>
          <w:tcPr>
            <w:tcW w:w="758" w:type="dxa"/>
            <w:tcBorders>
              <w:top w:val="nil"/>
              <w:left w:val="nil"/>
              <w:bottom w:val="single" w:sz="4" w:space="0" w:color="D3D3D3"/>
              <w:right w:val="single" w:sz="4" w:space="0" w:color="D3D3D3"/>
            </w:tcBorders>
            <w:shd w:val="clear" w:color="auto" w:fill="auto"/>
            <w:vAlign w:val="center"/>
            <w:hideMark/>
          </w:tcPr>
          <w:p w14:paraId="6C8C261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10 </w:t>
            </w:r>
          </w:p>
        </w:tc>
        <w:tc>
          <w:tcPr>
            <w:tcW w:w="539" w:type="dxa"/>
            <w:tcBorders>
              <w:top w:val="nil"/>
              <w:left w:val="nil"/>
              <w:bottom w:val="single" w:sz="4" w:space="0" w:color="D3D3D3"/>
              <w:right w:val="single" w:sz="4" w:space="0" w:color="D3D3D3"/>
            </w:tcBorders>
            <w:shd w:val="clear" w:color="auto" w:fill="auto"/>
            <w:vAlign w:val="center"/>
            <w:hideMark/>
          </w:tcPr>
          <w:p w14:paraId="579E226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13 </w:t>
            </w:r>
          </w:p>
        </w:tc>
        <w:tc>
          <w:tcPr>
            <w:tcW w:w="567" w:type="dxa"/>
            <w:tcBorders>
              <w:top w:val="nil"/>
              <w:left w:val="nil"/>
              <w:bottom w:val="single" w:sz="4" w:space="0" w:color="D3D3D3"/>
              <w:right w:val="single" w:sz="4" w:space="0" w:color="D3D3D3"/>
            </w:tcBorders>
            <w:shd w:val="clear" w:color="auto" w:fill="auto"/>
            <w:vAlign w:val="center"/>
            <w:hideMark/>
          </w:tcPr>
          <w:p w14:paraId="689BF3A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17 </w:t>
            </w:r>
          </w:p>
        </w:tc>
        <w:tc>
          <w:tcPr>
            <w:tcW w:w="0" w:type="auto"/>
            <w:tcBorders>
              <w:top w:val="nil"/>
              <w:left w:val="nil"/>
              <w:bottom w:val="single" w:sz="4" w:space="0" w:color="D3D3D3"/>
              <w:right w:val="single" w:sz="4" w:space="0" w:color="D3D3D3"/>
            </w:tcBorders>
            <w:shd w:val="clear" w:color="auto" w:fill="auto"/>
            <w:vAlign w:val="center"/>
            <w:hideMark/>
          </w:tcPr>
          <w:p w14:paraId="41E067F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17 </w:t>
            </w:r>
          </w:p>
        </w:tc>
        <w:tc>
          <w:tcPr>
            <w:tcW w:w="0" w:type="auto"/>
            <w:tcBorders>
              <w:top w:val="nil"/>
              <w:left w:val="nil"/>
              <w:bottom w:val="single" w:sz="4" w:space="0" w:color="D3D3D3"/>
              <w:right w:val="single" w:sz="4" w:space="0" w:color="D3D3D3"/>
            </w:tcBorders>
            <w:shd w:val="clear" w:color="auto" w:fill="auto"/>
            <w:vAlign w:val="center"/>
            <w:hideMark/>
          </w:tcPr>
          <w:p w14:paraId="5901AEC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21 </w:t>
            </w:r>
          </w:p>
        </w:tc>
        <w:tc>
          <w:tcPr>
            <w:tcW w:w="0" w:type="auto"/>
            <w:tcBorders>
              <w:top w:val="nil"/>
              <w:left w:val="nil"/>
              <w:bottom w:val="single" w:sz="4" w:space="0" w:color="D3D3D3"/>
              <w:right w:val="single" w:sz="4" w:space="0" w:color="D3D3D3"/>
            </w:tcBorders>
            <w:shd w:val="clear" w:color="auto" w:fill="auto"/>
            <w:vAlign w:val="center"/>
            <w:hideMark/>
          </w:tcPr>
          <w:p w14:paraId="309AAA5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31 </w:t>
            </w:r>
          </w:p>
        </w:tc>
        <w:tc>
          <w:tcPr>
            <w:tcW w:w="0" w:type="auto"/>
            <w:tcBorders>
              <w:top w:val="nil"/>
              <w:left w:val="nil"/>
              <w:bottom w:val="single" w:sz="4" w:space="0" w:color="D3D3D3"/>
              <w:right w:val="single" w:sz="4" w:space="0" w:color="D3D3D3"/>
            </w:tcBorders>
            <w:shd w:val="clear" w:color="auto" w:fill="auto"/>
            <w:vAlign w:val="center"/>
            <w:hideMark/>
          </w:tcPr>
          <w:p w14:paraId="3884845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22 </w:t>
            </w:r>
          </w:p>
        </w:tc>
        <w:tc>
          <w:tcPr>
            <w:tcW w:w="0" w:type="auto"/>
            <w:tcBorders>
              <w:top w:val="nil"/>
              <w:left w:val="nil"/>
              <w:bottom w:val="single" w:sz="4" w:space="0" w:color="D3D3D3"/>
              <w:right w:val="single" w:sz="4" w:space="0" w:color="D3D3D3"/>
            </w:tcBorders>
            <w:shd w:val="clear" w:color="auto" w:fill="auto"/>
            <w:vAlign w:val="center"/>
            <w:hideMark/>
          </w:tcPr>
          <w:p w14:paraId="4ED70B0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22 </w:t>
            </w:r>
          </w:p>
        </w:tc>
        <w:tc>
          <w:tcPr>
            <w:tcW w:w="0" w:type="auto"/>
            <w:tcBorders>
              <w:top w:val="nil"/>
              <w:left w:val="nil"/>
              <w:bottom w:val="single" w:sz="4" w:space="0" w:color="D3D3D3"/>
              <w:right w:val="single" w:sz="4" w:space="0" w:color="D3D3D3"/>
            </w:tcBorders>
            <w:shd w:val="clear" w:color="auto" w:fill="auto"/>
            <w:vAlign w:val="center"/>
            <w:hideMark/>
          </w:tcPr>
          <w:p w14:paraId="2ACECF3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5AEFD88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3E53912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153 </w:t>
            </w:r>
          </w:p>
        </w:tc>
      </w:tr>
      <w:tr w:rsidR="00D25704" w:rsidRPr="002528F9" w14:paraId="57417529"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34CEFC7C"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Immaculate Conception</w:t>
            </w:r>
          </w:p>
        </w:tc>
        <w:tc>
          <w:tcPr>
            <w:tcW w:w="1047" w:type="dxa"/>
            <w:tcBorders>
              <w:top w:val="nil"/>
              <w:left w:val="nil"/>
              <w:bottom w:val="single" w:sz="4" w:space="0" w:color="D3D3D3"/>
              <w:right w:val="single" w:sz="4" w:space="0" w:color="D3D3D3"/>
            </w:tcBorders>
            <w:shd w:val="clear" w:color="000000" w:fill="708090"/>
            <w:hideMark/>
          </w:tcPr>
          <w:p w14:paraId="03B8EC6E" w14:textId="3EB687D0"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F</w:t>
            </w:r>
            <w:r w:rsidR="00AD0D88">
              <w:rPr>
                <w:rFonts w:ascii="Lato" w:eastAsia="Times New Roman" w:hAnsi="Lato" w:cs="Tahoma"/>
                <w:color w:val="FFFFFF"/>
                <w:sz w:val="18"/>
                <w:szCs w:val="18"/>
                <w:lang w:eastAsia="en-CA"/>
              </w:rPr>
              <w:t>rench Immersion</w:t>
            </w:r>
          </w:p>
        </w:tc>
        <w:tc>
          <w:tcPr>
            <w:tcW w:w="758" w:type="dxa"/>
            <w:tcBorders>
              <w:top w:val="nil"/>
              <w:left w:val="nil"/>
              <w:bottom w:val="nil"/>
              <w:right w:val="single" w:sz="4" w:space="0" w:color="D3D3D3"/>
            </w:tcBorders>
            <w:shd w:val="clear" w:color="auto" w:fill="auto"/>
            <w:vAlign w:val="center"/>
            <w:hideMark/>
          </w:tcPr>
          <w:p w14:paraId="6852E11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9 </w:t>
            </w:r>
          </w:p>
        </w:tc>
        <w:tc>
          <w:tcPr>
            <w:tcW w:w="539" w:type="dxa"/>
            <w:tcBorders>
              <w:top w:val="nil"/>
              <w:left w:val="nil"/>
              <w:bottom w:val="single" w:sz="4" w:space="0" w:color="D3D3D3"/>
              <w:right w:val="single" w:sz="4" w:space="0" w:color="D3D3D3"/>
            </w:tcBorders>
            <w:shd w:val="clear" w:color="auto" w:fill="auto"/>
            <w:vAlign w:val="center"/>
            <w:hideMark/>
          </w:tcPr>
          <w:p w14:paraId="4E924B3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11 </w:t>
            </w:r>
          </w:p>
        </w:tc>
        <w:tc>
          <w:tcPr>
            <w:tcW w:w="567" w:type="dxa"/>
            <w:tcBorders>
              <w:top w:val="nil"/>
              <w:left w:val="nil"/>
              <w:bottom w:val="single" w:sz="4" w:space="0" w:color="D3D3D3"/>
              <w:right w:val="single" w:sz="4" w:space="0" w:color="D3D3D3"/>
            </w:tcBorders>
            <w:shd w:val="clear" w:color="auto" w:fill="auto"/>
            <w:vAlign w:val="center"/>
            <w:hideMark/>
          </w:tcPr>
          <w:p w14:paraId="5D5C02E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12 </w:t>
            </w:r>
          </w:p>
        </w:tc>
        <w:tc>
          <w:tcPr>
            <w:tcW w:w="0" w:type="auto"/>
            <w:tcBorders>
              <w:top w:val="nil"/>
              <w:left w:val="nil"/>
              <w:bottom w:val="single" w:sz="4" w:space="0" w:color="D3D3D3"/>
              <w:right w:val="single" w:sz="4" w:space="0" w:color="D3D3D3"/>
            </w:tcBorders>
            <w:shd w:val="clear" w:color="auto" w:fill="auto"/>
            <w:vAlign w:val="center"/>
            <w:hideMark/>
          </w:tcPr>
          <w:p w14:paraId="2DE818C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18 </w:t>
            </w:r>
          </w:p>
        </w:tc>
        <w:tc>
          <w:tcPr>
            <w:tcW w:w="0" w:type="auto"/>
            <w:tcBorders>
              <w:top w:val="nil"/>
              <w:left w:val="nil"/>
              <w:bottom w:val="single" w:sz="4" w:space="0" w:color="D3D3D3"/>
              <w:right w:val="single" w:sz="4" w:space="0" w:color="D3D3D3"/>
            </w:tcBorders>
            <w:shd w:val="clear" w:color="auto" w:fill="auto"/>
            <w:vAlign w:val="center"/>
            <w:hideMark/>
          </w:tcPr>
          <w:p w14:paraId="3C0C7C3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6 </w:t>
            </w:r>
          </w:p>
        </w:tc>
        <w:tc>
          <w:tcPr>
            <w:tcW w:w="0" w:type="auto"/>
            <w:tcBorders>
              <w:top w:val="nil"/>
              <w:left w:val="nil"/>
              <w:bottom w:val="single" w:sz="4" w:space="0" w:color="D3D3D3"/>
              <w:right w:val="single" w:sz="4" w:space="0" w:color="D3D3D3"/>
            </w:tcBorders>
            <w:shd w:val="clear" w:color="auto" w:fill="auto"/>
            <w:vAlign w:val="center"/>
            <w:hideMark/>
          </w:tcPr>
          <w:p w14:paraId="46061A9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7 </w:t>
            </w:r>
          </w:p>
        </w:tc>
        <w:tc>
          <w:tcPr>
            <w:tcW w:w="0" w:type="auto"/>
            <w:tcBorders>
              <w:top w:val="nil"/>
              <w:left w:val="nil"/>
              <w:bottom w:val="single" w:sz="4" w:space="0" w:color="D3D3D3"/>
              <w:right w:val="single" w:sz="4" w:space="0" w:color="D3D3D3"/>
            </w:tcBorders>
            <w:shd w:val="clear" w:color="auto" w:fill="auto"/>
            <w:vAlign w:val="center"/>
            <w:hideMark/>
          </w:tcPr>
          <w:p w14:paraId="733770D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9 </w:t>
            </w:r>
          </w:p>
        </w:tc>
        <w:tc>
          <w:tcPr>
            <w:tcW w:w="0" w:type="auto"/>
            <w:tcBorders>
              <w:top w:val="nil"/>
              <w:left w:val="nil"/>
              <w:bottom w:val="single" w:sz="4" w:space="0" w:color="D3D3D3"/>
              <w:right w:val="single" w:sz="4" w:space="0" w:color="D3D3D3"/>
            </w:tcBorders>
            <w:shd w:val="clear" w:color="auto" w:fill="auto"/>
            <w:vAlign w:val="center"/>
            <w:hideMark/>
          </w:tcPr>
          <w:p w14:paraId="30F1D63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5 </w:t>
            </w:r>
          </w:p>
        </w:tc>
        <w:tc>
          <w:tcPr>
            <w:tcW w:w="0" w:type="auto"/>
            <w:tcBorders>
              <w:top w:val="nil"/>
              <w:left w:val="nil"/>
              <w:bottom w:val="single" w:sz="4" w:space="0" w:color="D3D3D3"/>
              <w:right w:val="single" w:sz="4" w:space="0" w:color="D3D3D3"/>
            </w:tcBorders>
            <w:shd w:val="clear" w:color="auto" w:fill="auto"/>
            <w:vAlign w:val="center"/>
            <w:hideMark/>
          </w:tcPr>
          <w:p w14:paraId="48B375E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27BF508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718004B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77 </w:t>
            </w:r>
          </w:p>
        </w:tc>
      </w:tr>
      <w:tr w:rsidR="00D25704" w:rsidRPr="002528F9" w14:paraId="02BC87F5"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053884D5"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644C982C"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single" w:sz="4" w:space="0" w:color="auto"/>
              <w:left w:val="nil"/>
              <w:bottom w:val="single" w:sz="4" w:space="0" w:color="auto"/>
              <w:right w:val="single" w:sz="4" w:space="0" w:color="D3D3D3"/>
            </w:tcBorders>
            <w:shd w:val="clear" w:color="auto" w:fill="auto"/>
            <w:vAlign w:val="center"/>
            <w:hideMark/>
          </w:tcPr>
          <w:p w14:paraId="6976C40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19 </w:t>
            </w:r>
          </w:p>
        </w:tc>
        <w:tc>
          <w:tcPr>
            <w:tcW w:w="539" w:type="dxa"/>
            <w:tcBorders>
              <w:top w:val="single" w:sz="4" w:space="0" w:color="auto"/>
              <w:left w:val="nil"/>
              <w:bottom w:val="single" w:sz="4" w:space="0" w:color="auto"/>
              <w:right w:val="single" w:sz="4" w:space="0" w:color="D3D3D3"/>
            </w:tcBorders>
            <w:shd w:val="clear" w:color="auto" w:fill="auto"/>
            <w:vAlign w:val="center"/>
            <w:hideMark/>
          </w:tcPr>
          <w:p w14:paraId="0C4BE81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24 </w:t>
            </w:r>
          </w:p>
        </w:tc>
        <w:tc>
          <w:tcPr>
            <w:tcW w:w="567" w:type="dxa"/>
            <w:tcBorders>
              <w:top w:val="single" w:sz="4" w:space="0" w:color="auto"/>
              <w:left w:val="nil"/>
              <w:bottom w:val="single" w:sz="4" w:space="0" w:color="auto"/>
              <w:right w:val="single" w:sz="4" w:space="0" w:color="D3D3D3"/>
            </w:tcBorders>
            <w:shd w:val="clear" w:color="auto" w:fill="auto"/>
            <w:vAlign w:val="center"/>
            <w:hideMark/>
          </w:tcPr>
          <w:p w14:paraId="5712704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29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796A0BB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35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744F4C1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27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21279AA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38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0765A3D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31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614BED8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27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38E5817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57A43EA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762" w:type="dxa"/>
            <w:tcBorders>
              <w:top w:val="single" w:sz="4" w:space="0" w:color="auto"/>
              <w:left w:val="nil"/>
              <w:bottom w:val="single" w:sz="4" w:space="0" w:color="auto"/>
              <w:right w:val="single" w:sz="4" w:space="0" w:color="D3D3D3"/>
            </w:tcBorders>
            <w:shd w:val="clear" w:color="auto" w:fill="auto"/>
            <w:vAlign w:val="center"/>
            <w:hideMark/>
          </w:tcPr>
          <w:p w14:paraId="530505C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230 </w:t>
            </w:r>
          </w:p>
        </w:tc>
      </w:tr>
      <w:tr w:rsidR="00D25704" w:rsidRPr="002528F9" w14:paraId="263077CD"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15B8667F"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5E40DB39"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nil"/>
              <w:left w:val="nil"/>
              <w:bottom w:val="single" w:sz="4" w:space="0" w:color="D3D3D3"/>
              <w:right w:val="single" w:sz="4" w:space="0" w:color="D3D3D3"/>
            </w:tcBorders>
            <w:shd w:val="clear" w:color="auto" w:fill="auto"/>
            <w:vAlign w:val="center"/>
            <w:hideMark/>
          </w:tcPr>
          <w:p w14:paraId="7926F65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single" w:sz="4" w:space="0" w:color="D3D3D3"/>
              <w:left w:val="nil"/>
              <w:bottom w:val="single" w:sz="4" w:space="0" w:color="D3D3D3"/>
              <w:right w:val="single" w:sz="4" w:space="0" w:color="D3D3D3"/>
            </w:tcBorders>
            <w:shd w:val="clear" w:color="auto" w:fill="auto"/>
            <w:vAlign w:val="center"/>
            <w:hideMark/>
          </w:tcPr>
          <w:p w14:paraId="66C46EB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single" w:sz="4" w:space="0" w:color="D3D3D3"/>
              <w:left w:val="nil"/>
              <w:bottom w:val="single" w:sz="4" w:space="0" w:color="D3D3D3"/>
              <w:right w:val="single" w:sz="4" w:space="0" w:color="D3D3D3"/>
            </w:tcBorders>
            <w:shd w:val="clear" w:color="auto" w:fill="auto"/>
            <w:vAlign w:val="center"/>
            <w:hideMark/>
          </w:tcPr>
          <w:p w14:paraId="18D96FD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68A3D4B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7024028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3082395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0EDF2E0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22F49CF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1D36062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3C969A8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single" w:sz="4" w:space="0" w:color="D3D3D3"/>
              <w:left w:val="nil"/>
              <w:bottom w:val="single" w:sz="4" w:space="0" w:color="D3D3D3"/>
              <w:right w:val="single" w:sz="4" w:space="0" w:color="D3D3D3"/>
            </w:tcBorders>
            <w:shd w:val="clear" w:color="auto" w:fill="auto"/>
            <w:vAlign w:val="center"/>
            <w:hideMark/>
          </w:tcPr>
          <w:p w14:paraId="78B3D64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r>
      <w:tr w:rsidR="00D25704" w:rsidRPr="002528F9" w14:paraId="7F848258"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2C70BFD3"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Marymount Academy (7-8)</w:t>
            </w:r>
          </w:p>
        </w:tc>
        <w:tc>
          <w:tcPr>
            <w:tcW w:w="1047" w:type="dxa"/>
            <w:tcBorders>
              <w:top w:val="nil"/>
              <w:left w:val="nil"/>
              <w:bottom w:val="single" w:sz="4" w:space="0" w:color="D3D3D3"/>
              <w:right w:val="single" w:sz="4" w:space="0" w:color="D3D3D3"/>
            </w:tcBorders>
            <w:shd w:val="clear" w:color="000000" w:fill="708090"/>
            <w:hideMark/>
          </w:tcPr>
          <w:p w14:paraId="7C7BDF02" w14:textId="071624F1"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R</w:t>
            </w:r>
            <w:r w:rsidR="00AD0D88">
              <w:rPr>
                <w:rFonts w:ascii="Lato" w:eastAsia="Times New Roman" w:hAnsi="Lato" w:cs="Tahoma"/>
                <w:color w:val="FFFFFF"/>
                <w:sz w:val="18"/>
                <w:szCs w:val="18"/>
                <w:lang w:eastAsia="en-CA"/>
              </w:rPr>
              <w:t>egular</w:t>
            </w:r>
          </w:p>
        </w:tc>
        <w:tc>
          <w:tcPr>
            <w:tcW w:w="758" w:type="dxa"/>
            <w:tcBorders>
              <w:top w:val="nil"/>
              <w:left w:val="nil"/>
              <w:bottom w:val="single" w:sz="4" w:space="0" w:color="D3D3D3"/>
              <w:right w:val="single" w:sz="4" w:space="0" w:color="D3D3D3"/>
            </w:tcBorders>
            <w:shd w:val="clear" w:color="auto" w:fill="auto"/>
            <w:vAlign w:val="center"/>
            <w:hideMark/>
          </w:tcPr>
          <w:p w14:paraId="37275C5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nil"/>
              <w:left w:val="nil"/>
              <w:bottom w:val="single" w:sz="4" w:space="0" w:color="D3D3D3"/>
              <w:right w:val="single" w:sz="4" w:space="0" w:color="D3D3D3"/>
            </w:tcBorders>
            <w:shd w:val="clear" w:color="auto" w:fill="auto"/>
            <w:vAlign w:val="center"/>
            <w:hideMark/>
          </w:tcPr>
          <w:p w14:paraId="7C0F59B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nil"/>
              <w:left w:val="nil"/>
              <w:bottom w:val="single" w:sz="4" w:space="0" w:color="D3D3D3"/>
              <w:right w:val="single" w:sz="4" w:space="0" w:color="D3D3D3"/>
            </w:tcBorders>
            <w:shd w:val="clear" w:color="auto" w:fill="auto"/>
            <w:vAlign w:val="center"/>
            <w:hideMark/>
          </w:tcPr>
          <w:p w14:paraId="73F28E7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3B5026C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0CED498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062AD60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34627CE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415F5F8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02E05FD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23 </w:t>
            </w:r>
          </w:p>
        </w:tc>
        <w:tc>
          <w:tcPr>
            <w:tcW w:w="0" w:type="auto"/>
            <w:tcBorders>
              <w:top w:val="nil"/>
              <w:left w:val="nil"/>
              <w:bottom w:val="single" w:sz="4" w:space="0" w:color="D3D3D3"/>
              <w:right w:val="single" w:sz="4" w:space="0" w:color="D3D3D3"/>
            </w:tcBorders>
            <w:shd w:val="clear" w:color="auto" w:fill="auto"/>
            <w:vAlign w:val="center"/>
            <w:hideMark/>
          </w:tcPr>
          <w:p w14:paraId="74C96B8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44 </w:t>
            </w:r>
          </w:p>
        </w:tc>
        <w:tc>
          <w:tcPr>
            <w:tcW w:w="762" w:type="dxa"/>
            <w:tcBorders>
              <w:top w:val="nil"/>
              <w:left w:val="nil"/>
              <w:bottom w:val="single" w:sz="4" w:space="0" w:color="D3D3D3"/>
              <w:right w:val="single" w:sz="4" w:space="0" w:color="D3D3D3"/>
            </w:tcBorders>
            <w:shd w:val="clear" w:color="auto" w:fill="auto"/>
            <w:vAlign w:val="center"/>
            <w:hideMark/>
          </w:tcPr>
          <w:p w14:paraId="6E2E411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67 </w:t>
            </w:r>
          </w:p>
        </w:tc>
      </w:tr>
      <w:tr w:rsidR="00D25704" w:rsidRPr="002528F9" w14:paraId="571A767C"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19896C92"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Marymount Academy (7-8)</w:t>
            </w:r>
          </w:p>
        </w:tc>
        <w:tc>
          <w:tcPr>
            <w:tcW w:w="1047" w:type="dxa"/>
            <w:tcBorders>
              <w:top w:val="nil"/>
              <w:left w:val="nil"/>
              <w:bottom w:val="single" w:sz="4" w:space="0" w:color="D3D3D3"/>
              <w:right w:val="single" w:sz="4" w:space="0" w:color="D3D3D3"/>
            </w:tcBorders>
            <w:shd w:val="clear" w:color="000000" w:fill="708090"/>
            <w:hideMark/>
          </w:tcPr>
          <w:p w14:paraId="4816E798" w14:textId="4970ABCC"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F</w:t>
            </w:r>
            <w:r w:rsidR="00AD0D88">
              <w:rPr>
                <w:rFonts w:ascii="Lato" w:eastAsia="Times New Roman" w:hAnsi="Lato" w:cs="Tahoma"/>
                <w:color w:val="FFFFFF"/>
                <w:sz w:val="18"/>
                <w:szCs w:val="18"/>
                <w:lang w:eastAsia="en-CA"/>
              </w:rPr>
              <w:t>rench Immersion</w:t>
            </w:r>
          </w:p>
        </w:tc>
        <w:tc>
          <w:tcPr>
            <w:tcW w:w="758" w:type="dxa"/>
            <w:tcBorders>
              <w:top w:val="nil"/>
              <w:left w:val="nil"/>
              <w:bottom w:val="nil"/>
              <w:right w:val="single" w:sz="4" w:space="0" w:color="D3D3D3"/>
            </w:tcBorders>
            <w:shd w:val="clear" w:color="auto" w:fill="auto"/>
            <w:vAlign w:val="center"/>
            <w:hideMark/>
          </w:tcPr>
          <w:p w14:paraId="31BF81C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nil"/>
              <w:left w:val="nil"/>
              <w:bottom w:val="single" w:sz="4" w:space="0" w:color="D3D3D3"/>
              <w:right w:val="single" w:sz="4" w:space="0" w:color="D3D3D3"/>
            </w:tcBorders>
            <w:shd w:val="clear" w:color="auto" w:fill="auto"/>
            <w:vAlign w:val="center"/>
            <w:hideMark/>
          </w:tcPr>
          <w:p w14:paraId="1AE31ED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nil"/>
              <w:left w:val="nil"/>
              <w:bottom w:val="single" w:sz="4" w:space="0" w:color="D3D3D3"/>
              <w:right w:val="single" w:sz="4" w:space="0" w:color="D3D3D3"/>
            </w:tcBorders>
            <w:shd w:val="clear" w:color="auto" w:fill="auto"/>
            <w:vAlign w:val="center"/>
            <w:hideMark/>
          </w:tcPr>
          <w:p w14:paraId="1622ECA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54DCC41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345C6E6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5903D4B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0304108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4DFBC12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4E2E878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33 </w:t>
            </w:r>
          </w:p>
        </w:tc>
        <w:tc>
          <w:tcPr>
            <w:tcW w:w="0" w:type="auto"/>
            <w:tcBorders>
              <w:top w:val="nil"/>
              <w:left w:val="nil"/>
              <w:bottom w:val="single" w:sz="4" w:space="0" w:color="D3D3D3"/>
              <w:right w:val="single" w:sz="4" w:space="0" w:color="D3D3D3"/>
            </w:tcBorders>
            <w:shd w:val="clear" w:color="auto" w:fill="auto"/>
            <w:vAlign w:val="center"/>
            <w:hideMark/>
          </w:tcPr>
          <w:p w14:paraId="6A1349D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29 </w:t>
            </w:r>
          </w:p>
        </w:tc>
        <w:tc>
          <w:tcPr>
            <w:tcW w:w="762" w:type="dxa"/>
            <w:tcBorders>
              <w:top w:val="nil"/>
              <w:left w:val="nil"/>
              <w:bottom w:val="single" w:sz="4" w:space="0" w:color="D3D3D3"/>
              <w:right w:val="single" w:sz="4" w:space="0" w:color="D3D3D3"/>
            </w:tcBorders>
            <w:shd w:val="clear" w:color="auto" w:fill="auto"/>
            <w:vAlign w:val="center"/>
            <w:hideMark/>
          </w:tcPr>
          <w:p w14:paraId="0105D07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62 </w:t>
            </w:r>
          </w:p>
        </w:tc>
      </w:tr>
      <w:tr w:rsidR="00D25704" w:rsidRPr="002528F9" w14:paraId="18476E20"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2D40616B"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19E61A2B"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single" w:sz="4" w:space="0" w:color="auto"/>
              <w:left w:val="nil"/>
              <w:bottom w:val="single" w:sz="4" w:space="0" w:color="auto"/>
              <w:right w:val="single" w:sz="4" w:space="0" w:color="D3D3D3"/>
            </w:tcBorders>
            <w:shd w:val="clear" w:color="auto" w:fill="auto"/>
            <w:vAlign w:val="center"/>
            <w:hideMark/>
          </w:tcPr>
          <w:p w14:paraId="2B86A45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539" w:type="dxa"/>
            <w:tcBorders>
              <w:top w:val="single" w:sz="4" w:space="0" w:color="auto"/>
              <w:left w:val="nil"/>
              <w:bottom w:val="single" w:sz="4" w:space="0" w:color="auto"/>
              <w:right w:val="single" w:sz="4" w:space="0" w:color="D3D3D3"/>
            </w:tcBorders>
            <w:shd w:val="clear" w:color="auto" w:fill="auto"/>
            <w:vAlign w:val="center"/>
            <w:hideMark/>
          </w:tcPr>
          <w:p w14:paraId="675C34D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567" w:type="dxa"/>
            <w:tcBorders>
              <w:top w:val="single" w:sz="4" w:space="0" w:color="auto"/>
              <w:left w:val="nil"/>
              <w:bottom w:val="single" w:sz="4" w:space="0" w:color="auto"/>
              <w:right w:val="single" w:sz="4" w:space="0" w:color="D3D3D3"/>
            </w:tcBorders>
            <w:shd w:val="clear" w:color="auto" w:fill="auto"/>
            <w:vAlign w:val="center"/>
            <w:hideMark/>
          </w:tcPr>
          <w:p w14:paraId="5764DB2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53382AF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2CD5A16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1A9E759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4C11F50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67F1D8D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4418C55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56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0558540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73 </w:t>
            </w:r>
          </w:p>
        </w:tc>
        <w:tc>
          <w:tcPr>
            <w:tcW w:w="762" w:type="dxa"/>
            <w:tcBorders>
              <w:top w:val="single" w:sz="4" w:space="0" w:color="auto"/>
              <w:left w:val="nil"/>
              <w:bottom w:val="single" w:sz="4" w:space="0" w:color="auto"/>
              <w:right w:val="single" w:sz="4" w:space="0" w:color="D3D3D3"/>
            </w:tcBorders>
            <w:shd w:val="clear" w:color="auto" w:fill="auto"/>
            <w:vAlign w:val="center"/>
            <w:hideMark/>
          </w:tcPr>
          <w:p w14:paraId="289C892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129 </w:t>
            </w:r>
          </w:p>
        </w:tc>
      </w:tr>
      <w:tr w:rsidR="00D25704" w:rsidRPr="002528F9" w14:paraId="01C4DA1C"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07586EE3"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66A2A2D9"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nil"/>
              <w:left w:val="nil"/>
              <w:bottom w:val="single" w:sz="4" w:space="0" w:color="D3D3D3"/>
              <w:right w:val="single" w:sz="4" w:space="0" w:color="D3D3D3"/>
            </w:tcBorders>
            <w:shd w:val="clear" w:color="auto" w:fill="auto"/>
            <w:vAlign w:val="center"/>
            <w:hideMark/>
          </w:tcPr>
          <w:p w14:paraId="084E5B5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single" w:sz="4" w:space="0" w:color="D3D3D3"/>
              <w:left w:val="nil"/>
              <w:bottom w:val="single" w:sz="4" w:space="0" w:color="D3D3D3"/>
              <w:right w:val="single" w:sz="4" w:space="0" w:color="D3D3D3"/>
            </w:tcBorders>
            <w:shd w:val="clear" w:color="auto" w:fill="auto"/>
            <w:vAlign w:val="center"/>
            <w:hideMark/>
          </w:tcPr>
          <w:p w14:paraId="4113D44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single" w:sz="4" w:space="0" w:color="D3D3D3"/>
              <w:left w:val="nil"/>
              <w:bottom w:val="single" w:sz="4" w:space="0" w:color="D3D3D3"/>
              <w:right w:val="single" w:sz="4" w:space="0" w:color="D3D3D3"/>
            </w:tcBorders>
            <w:shd w:val="clear" w:color="auto" w:fill="auto"/>
            <w:vAlign w:val="center"/>
            <w:hideMark/>
          </w:tcPr>
          <w:p w14:paraId="30C38B4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58C3C4D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69634AF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213FBDE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2565D88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4F31A6E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3EDD24F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44E0F0C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single" w:sz="4" w:space="0" w:color="D3D3D3"/>
              <w:left w:val="nil"/>
              <w:bottom w:val="single" w:sz="4" w:space="0" w:color="D3D3D3"/>
              <w:right w:val="single" w:sz="4" w:space="0" w:color="D3D3D3"/>
            </w:tcBorders>
            <w:shd w:val="clear" w:color="auto" w:fill="auto"/>
            <w:vAlign w:val="center"/>
            <w:hideMark/>
          </w:tcPr>
          <w:p w14:paraId="0481C73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r>
      <w:tr w:rsidR="00D25704" w:rsidRPr="002528F9" w14:paraId="74B45CC4"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77F01612"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Pius XII</w:t>
            </w:r>
          </w:p>
        </w:tc>
        <w:tc>
          <w:tcPr>
            <w:tcW w:w="1047" w:type="dxa"/>
            <w:tcBorders>
              <w:top w:val="nil"/>
              <w:left w:val="nil"/>
              <w:bottom w:val="single" w:sz="4" w:space="0" w:color="D3D3D3"/>
              <w:right w:val="single" w:sz="4" w:space="0" w:color="D3D3D3"/>
            </w:tcBorders>
            <w:shd w:val="clear" w:color="000000" w:fill="708090"/>
            <w:hideMark/>
          </w:tcPr>
          <w:p w14:paraId="508BAFB2" w14:textId="41CE56ED"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R</w:t>
            </w:r>
            <w:r w:rsidR="00AD0D88">
              <w:rPr>
                <w:rFonts w:ascii="Lato" w:eastAsia="Times New Roman" w:hAnsi="Lato" w:cs="Tahoma"/>
                <w:color w:val="FFFFFF"/>
                <w:sz w:val="18"/>
                <w:szCs w:val="18"/>
                <w:lang w:eastAsia="en-CA"/>
              </w:rPr>
              <w:t>egular</w:t>
            </w:r>
          </w:p>
        </w:tc>
        <w:tc>
          <w:tcPr>
            <w:tcW w:w="758" w:type="dxa"/>
            <w:tcBorders>
              <w:top w:val="nil"/>
              <w:left w:val="nil"/>
              <w:bottom w:val="single" w:sz="4" w:space="0" w:color="D3D3D3"/>
              <w:right w:val="single" w:sz="4" w:space="0" w:color="D3D3D3"/>
            </w:tcBorders>
            <w:shd w:val="clear" w:color="auto" w:fill="auto"/>
            <w:vAlign w:val="center"/>
            <w:hideMark/>
          </w:tcPr>
          <w:p w14:paraId="19E0138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24 </w:t>
            </w:r>
          </w:p>
        </w:tc>
        <w:tc>
          <w:tcPr>
            <w:tcW w:w="539" w:type="dxa"/>
            <w:tcBorders>
              <w:top w:val="nil"/>
              <w:left w:val="nil"/>
              <w:bottom w:val="single" w:sz="4" w:space="0" w:color="D3D3D3"/>
              <w:right w:val="single" w:sz="4" w:space="0" w:color="D3D3D3"/>
            </w:tcBorders>
            <w:shd w:val="clear" w:color="auto" w:fill="auto"/>
            <w:vAlign w:val="center"/>
            <w:hideMark/>
          </w:tcPr>
          <w:p w14:paraId="445945E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24 </w:t>
            </w:r>
          </w:p>
        </w:tc>
        <w:tc>
          <w:tcPr>
            <w:tcW w:w="567" w:type="dxa"/>
            <w:tcBorders>
              <w:top w:val="nil"/>
              <w:left w:val="nil"/>
              <w:bottom w:val="single" w:sz="4" w:space="0" w:color="D3D3D3"/>
              <w:right w:val="single" w:sz="4" w:space="0" w:color="D3D3D3"/>
            </w:tcBorders>
            <w:shd w:val="clear" w:color="auto" w:fill="auto"/>
            <w:vAlign w:val="center"/>
            <w:hideMark/>
          </w:tcPr>
          <w:p w14:paraId="2FDAB8E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26 </w:t>
            </w:r>
          </w:p>
        </w:tc>
        <w:tc>
          <w:tcPr>
            <w:tcW w:w="0" w:type="auto"/>
            <w:tcBorders>
              <w:top w:val="nil"/>
              <w:left w:val="nil"/>
              <w:bottom w:val="single" w:sz="4" w:space="0" w:color="D3D3D3"/>
              <w:right w:val="single" w:sz="4" w:space="0" w:color="D3D3D3"/>
            </w:tcBorders>
            <w:shd w:val="clear" w:color="auto" w:fill="auto"/>
            <w:vAlign w:val="center"/>
            <w:hideMark/>
          </w:tcPr>
          <w:p w14:paraId="74F472E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32 </w:t>
            </w:r>
          </w:p>
        </w:tc>
        <w:tc>
          <w:tcPr>
            <w:tcW w:w="0" w:type="auto"/>
            <w:tcBorders>
              <w:top w:val="nil"/>
              <w:left w:val="nil"/>
              <w:bottom w:val="single" w:sz="4" w:space="0" w:color="D3D3D3"/>
              <w:right w:val="single" w:sz="4" w:space="0" w:color="D3D3D3"/>
            </w:tcBorders>
            <w:shd w:val="clear" w:color="auto" w:fill="auto"/>
            <w:vAlign w:val="center"/>
            <w:hideMark/>
          </w:tcPr>
          <w:p w14:paraId="60E8BA7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39 </w:t>
            </w:r>
          </w:p>
        </w:tc>
        <w:tc>
          <w:tcPr>
            <w:tcW w:w="0" w:type="auto"/>
            <w:tcBorders>
              <w:top w:val="nil"/>
              <w:left w:val="nil"/>
              <w:bottom w:val="single" w:sz="4" w:space="0" w:color="D3D3D3"/>
              <w:right w:val="single" w:sz="4" w:space="0" w:color="D3D3D3"/>
            </w:tcBorders>
            <w:shd w:val="clear" w:color="auto" w:fill="auto"/>
            <w:vAlign w:val="center"/>
            <w:hideMark/>
          </w:tcPr>
          <w:p w14:paraId="5B4764F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27 </w:t>
            </w:r>
          </w:p>
        </w:tc>
        <w:tc>
          <w:tcPr>
            <w:tcW w:w="0" w:type="auto"/>
            <w:tcBorders>
              <w:top w:val="nil"/>
              <w:left w:val="nil"/>
              <w:bottom w:val="single" w:sz="4" w:space="0" w:color="D3D3D3"/>
              <w:right w:val="single" w:sz="4" w:space="0" w:color="D3D3D3"/>
            </w:tcBorders>
            <w:shd w:val="clear" w:color="auto" w:fill="auto"/>
            <w:vAlign w:val="center"/>
            <w:hideMark/>
          </w:tcPr>
          <w:p w14:paraId="5CFA295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28 </w:t>
            </w:r>
          </w:p>
        </w:tc>
        <w:tc>
          <w:tcPr>
            <w:tcW w:w="0" w:type="auto"/>
            <w:tcBorders>
              <w:top w:val="nil"/>
              <w:left w:val="nil"/>
              <w:bottom w:val="single" w:sz="4" w:space="0" w:color="D3D3D3"/>
              <w:right w:val="single" w:sz="4" w:space="0" w:color="D3D3D3"/>
            </w:tcBorders>
            <w:shd w:val="clear" w:color="auto" w:fill="auto"/>
            <w:vAlign w:val="center"/>
            <w:hideMark/>
          </w:tcPr>
          <w:p w14:paraId="0411740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36 </w:t>
            </w:r>
          </w:p>
        </w:tc>
        <w:tc>
          <w:tcPr>
            <w:tcW w:w="0" w:type="auto"/>
            <w:tcBorders>
              <w:top w:val="nil"/>
              <w:left w:val="nil"/>
              <w:bottom w:val="single" w:sz="4" w:space="0" w:color="D3D3D3"/>
              <w:right w:val="single" w:sz="4" w:space="0" w:color="D3D3D3"/>
            </w:tcBorders>
            <w:shd w:val="clear" w:color="auto" w:fill="auto"/>
            <w:vAlign w:val="center"/>
            <w:hideMark/>
          </w:tcPr>
          <w:p w14:paraId="2C9D26E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23EB520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15B5A62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236 </w:t>
            </w:r>
          </w:p>
        </w:tc>
      </w:tr>
      <w:tr w:rsidR="00D25704" w:rsidRPr="002528F9" w14:paraId="51D7B78E"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4657BE4B"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Pius XII</w:t>
            </w:r>
          </w:p>
        </w:tc>
        <w:tc>
          <w:tcPr>
            <w:tcW w:w="1047" w:type="dxa"/>
            <w:tcBorders>
              <w:top w:val="nil"/>
              <w:left w:val="nil"/>
              <w:bottom w:val="single" w:sz="4" w:space="0" w:color="D3D3D3"/>
              <w:right w:val="single" w:sz="4" w:space="0" w:color="D3D3D3"/>
            </w:tcBorders>
            <w:shd w:val="clear" w:color="000000" w:fill="708090"/>
            <w:hideMark/>
          </w:tcPr>
          <w:p w14:paraId="2F2C1D16" w14:textId="373B48C6"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w:t>
            </w:r>
            <w:r w:rsidR="00AD0D88">
              <w:rPr>
                <w:rFonts w:ascii="Lato" w:eastAsia="Times New Roman" w:hAnsi="Lato" w:cs="Tahoma"/>
                <w:color w:val="FFFFFF"/>
                <w:sz w:val="18"/>
                <w:szCs w:val="18"/>
                <w:lang w:eastAsia="en-CA"/>
              </w:rPr>
              <w:t>pecial Education</w:t>
            </w:r>
          </w:p>
        </w:tc>
        <w:tc>
          <w:tcPr>
            <w:tcW w:w="758" w:type="dxa"/>
            <w:tcBorders>
              <w:top w:val="nil"/>
              <w:left w:val="nil"/>
              <w:bottom w:val="nil"/>
              <w:right w:val="single" w:sz="4" w:space="0" w:color="D3D3D3"/>
            </w:tcBorders>
            <w:shd w:val="clear" w:color="auto" w:fill="auto"/>
            <w:vAlign w:val="center"/>
            <w:hideMark/>
          </w:tcPr>
          <w:p w14:paraId="4A64A6A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nil"/>
              <w:left w:val="nil"/>
              <w:bottom w:val="single" w:sz="4" w:space="0" w:color="D3D3D3"/>
              <w:right w:val="single" w:sz="4" w:space="0" w:color="D3D3D3"/>
            </w:tcBorders>
            <w:shd w:val="clear" w:color="auto" w:fill="auto"/>
            <w:vAlign w:val="center"/>
            <w:hideMark/>
          </w:tcPr>
          <w:p w14:paraId="125AA12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 </w:t>
            </w:r>
          </w:p>
        </w:tc>
        <w:tc>
          <w:tcPr>
            <w:tcW w:w="567" w:type="dxa"/>
            <w:tcBorders>
              <w:top w:val="nil"/>
              <w:left w:val="nil"/>
              <w:bottom w:val="single" w:sz="4" w:space="0" w:color="D3D3D3"/>
              <w:right w:val="single" w:sz="4" w:space="0" w:color="D3D3D3"/>
            </w:tcBorders>
            <w:shd w:val="clear" w:color="auto" w:fill="auto"/>
            <w:vAlign w:val="center"/>
            <w:hideMark/>
          </w:tcPr>
          <w:p w14:paraId="39E4FD0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20CBE7A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5 </w:t>
            </w:r>
          </w:p>
        </w:tc>
        <w:tc>
          <w:tcPr>
            <w:tcW w:w="0" w:type="auto"/>
            <w:tcBorders>
              <w:top w:val="nil"/>
              <w:left w:val="nil"/>
              <w:bottom w:val="single" w:sz="4" w:space="0" w:color="D3D3D3"/>
              <w:right w:val="single" w:sz="4" w:space="0" w:color="D3D3D3"/>
            </w:tcBorders>
            <w:shd w:val="clear" w:color="auto" w:fill="auto"/>
            <w:vAlign w:val="center"/>
            <w:hideMark/>
          </w:tcPr>
          <w:p w14:paraId="49830A5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4331BF6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 </w:t>
            </w:r>
          </w:p>
        </w:tc>
        <w:tc>
          <w:tcPr>
            <w:tcW w:w="0" w:type="auto"/>
            <w:tcBorders>
              <w:top w:val="nil"/>
              <w:left w:val="nil"/>
              <w:bottom w:val="single" w:sz="4" w:space="0" w:color="D3D3D3"/>
              <w:right w:val="single" w:sz="4" w:space="0" w:color="D3D3D3"/>
            </w:tcBorders>
            <w:shd w:val="clear" w:color="auto" w:fill="auto"/>
            <w:vAlign w:val="center"/>
            <w:hideMark/>
          </w:tcPr>
          <w:p w14:paraId="66885A3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 </w:t>
            </w:r>
          </w:p>
        </w:tc>
        <w:tc>
          <w:tcPr>
            <w:tcW w:w="0" w:type="auto"/>
            <w:tcBorders>
              <w:top w:val="nil"/>
              <w:left w:val="nil"/>
              <w:bottom w:val="single" w:sz="4" w:space="0" w:color="D3D3D3"/>
              <w:right w:val="single" w:sz="4" w:space="0" w:color="D3D3D3"/>
            </w:tcBorders>
            <w:shd w:val="clear" w:color="auto" w:fill="auto"/>
            <w:vAlign w:val="center"/>
            <w:hideMark/>
          </w:tcPr>
          <w:p w14:paraId="17F99F4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 </w:t>
            </w:r>
          </w:p>
        </w:tc>
        <w:tc>
          <w:tcPr>
            <w:tcW w:w="0" w:type="auto"/>
            <w:tcBorders>
              <w:top w:val="nil"/>
              <w:left w:val="nil"/>
              <w:bottom w:val="single" w:sz="4" w:space="0" w:color="D3D3D3"/>
              <w:right w:val="single" w:sz="4" w:space="0" w:color="D3D3D3"/>
            </w:tcBorders>
            <w:shd w:val="clear" w:color="auto" w:fill="auto"/>
            <w:vAlign w:val="center"/>
            <w:hideMark/>
          </w:tcPr>
          <w:p w14:paraId="5E5F986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14671AD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527E498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11 </w:t>
            </w:r>
          </w:p>
        </w:tc>
      </w:tr>
      <w:tr w:rsidR="00D25704" w:rsidRPr="002528F9" w14:paraId="0D306040"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5BA9918F"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13420606"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single" w:sz="4" w:space="0" w:color="auto"/>
              <w:left w:val="nil"/>
              <w:bottom w:val="single" w:sz="4" w:space="0" w:color="auto"/>
              <w:right w:val="single" w:sz="4" w:space="0" w:color="D3D3D3"/>
            </w:tcBorders>
            <w:shd w:val="clear" w:color="auto" w:fill="auto"/>
            <w:vAlign w:val="center"/>
            <w:hideMark/>
          </w:tcPr>
          <w:p w14:paraId="66EDDD4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24 </w:t>
            </w:r>
          </w:p>
        </w:tc>
        <w:tc>
          <w:tcPr>
            <w:tcW w:w="539" w:type="dxa"/>
            <w:tcBorders>
              <w:top w:val="single" w:sz="4" w:space="0" w:color="auto"/>
              <w:left w:val="nil"/>
              <w:bottom w:val="single" w:sz="4" w:space="0" w:color="auto"/>
              <w:right w:val="single" w:sz="4" w:space="0" w:color="D3D3D3"/>
            </w:tcBorders>
            <w:shd w:val="clear" w:color="auto" w:fill="auto"/>
            <w:vAlign w:val="center"/>
            <w:hideMark/>
          </w:tcPr>
          <w:p w14:paraId="4E50045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26 </w:t>
            </w:r>
          </w:p>
        </w:tc>
        <w:tc>
          <w:tcPr>
            <w:tcW w:w="567" w:type="dxa"/>
            <w:tcBorders>
              <w:top w:val="single" w:sz="4" w:space="0" w:color="auto"/>
              <w:left w:val="nil"/>
              <w:bottom w:val="single" w:sz="4" w:space="0" w:color="auto"/>
              <w:right w:val="single" w:sz="4" w:space="0" w:color="D3D3D3"/>
            </w:tcBorders>
            <w:shd w:val="clear" w:color="auto" w:fill="auto"/>
            <w:vAlign w:val="center"/>
            <w:hideMark/>
          </w:tcPr>
          <w:p w14:paraId="6EC2E22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26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456BEC7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37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585C089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39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5DC1935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28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663F5E2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280CED2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37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12F3580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1C84AA0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762" w:type="dxa"/>
            <w:tcBorders>
              <w:top w:val="single" w:sz="4" w:space="0" w:color="auto"/>
              <w:left w:val="nil"/>
              <w:bottom w:val="single" w:sz="4" w:space="0" w:color="auto"/>
              <w:right w:val="single" w:sz="4" w:space="0" w:color="D3D3D3"/>
            </w:tcBorders>
            <w:shd w:val="clear" w:color="auto" w:fill="auto"/>
            <w:vAlign w:val="center"/>
            <w:hideMark/>
          </w:tcPr>
          <w:p w14:paraId="287AE1A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247 </w:t>
            </w:r>
          </w:p>
        </w:tc>
      </w:tr>
      <w:tr w:rsidR="00D25704" w:rsidRPr="002528F9" w14:paraId="6B04B235"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13E925C9"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725B3BC6"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nil"/>
              <w:left w:val="nil"/>
              <w:bottom w:val="single" w:sz="4" w:space="0" w:color="D3D3D3"/>
              <w:right w:val="single" w:sz="4" w:space="0" w:color="D3D3D3"/>
            </w:tcBorders>
            <w:shd w:val="clear" w:color="auto" w:fill="auto"/>
            <w:vAlign w:val="center"/>
            <w:hideMark/>
          </w:tcPr>
          <w:p w14:paraId="31111E2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single" w:sz="4" w:space="0" w:color="D3D3D3"/>
              <w:left w:val="nil"/>
              <w:bottom w:val="single" w:sz="4" w:space="0" w:color="D3D3D3"/>
              <w:right w:val="single" w:sz="4" w:space="0" w:color="D3D3D3"/>
            </w:tcBorders>
            <w:shd w:val="clear" w:color="auto" w:fill="auto"/>
            <w:vAlign w:val="center"/>
            <w:hideMark/>
          </w:tcPr>
          <w:p w14:paraId="78BDB3E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single" w:sz="4" w:space="0" w:color="D3D3D3"/>
              <w:left w:val="nil"/>
              <w:bottom w:val="single" w:sz="4" w:space="0" w:color="D3D3D3"/>
              <w:right w:val="single" w:sz="4" w:space="0" w:color="D3D3D3"/>
            </w:tcBorders>
            <w:shd w:val="clear" w:color="auto" w:fill="auto"/>
            <w:vAlign w:val="center"/>
            <w:hideMark/>
          </w:tcPr>
          <w:p w14:paraId="20AC601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0FEE456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42E9DA2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20632AE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1771380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6D80590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6FE39F7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0A691D8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single" w:sz="4" w:space="0" w:color="D3D3D3"/>
              <w:left w:val="nil"/>
              <w:bottom w:val="single" w:sz="4" w:space="0" w:color="D3D3D3"/>
              <w:right w:val="single" w:sz="4" w:space="0" w:color="D3D3D3"/>
            </w:tcBorders>
            <w:shd w:val="clear" w:color="auto" w:fill="auto"/>
            <w:vAlign w:val="center"/>
            <w:hideMark/>
          </w:tcPr>
          <w:p w14:paraId="7D9F802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r>
      <w:tr w:rsidR="00D25704" w:rsidRPr="002528F9" w14:paraId="7255D43E"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2E358B46"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St Anne</w:t>
            </w:r>
          </w:p>
        </w:tc>
        <w:tc>
          <w:tcPr>
            <w:tcW w:w="1047" w:type="dxa"/>
            <w:tcBorders>
              <w:top w:val="nil"/>
              <w:left w:val="nil"/>
              <w:bottom w:val="single" w:sz="4" w:space="0" w:color="D3D3D3"/>
              <w:right w:val="single" w:sz="4" w:space="0" w:color="D3D3D3"/>
            </w:tcBorders>
            <w:shd w:val="clear" w:color="000000" w:fill="708090"/>
            <w:hideMark/>
          </w:tcPr>
          <w:p w14:paraId="572CC52F" w14:textId="11F79CE4"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R</w:t>
            </w:r>
            <w:r w:rsidR="00AD0D88">
              <w:rPr>
                <w:rFonts w:ascii="Lato" w:eastAsia="Times New Roman" w:hAnsi="Lato" w:cs="Tahoma"/>
                <w:color w:val="FFFFFF"/>
                <w:sz w:val="18"/>
                <w:szCs w:val="18"/>
                <w:lang w:eastAsia="en-CA"/>
              </w:rPr>
              <w:t>egular</w:t>
            </w:r>
          </w:p>
        </w:tc>
        <w:tc>
          <w:tcPr>
            <w:tcW w:w="758" w:type="dxa"/>
            <w:tcBorders>
              <w:top w:val="nil"/>
              <w:left w:val="nil"/>
              <w:bottom w:val="single" w:sz="4" w:space="0" w:color="D3D3D3"/>
              <w:right w:val="single" w:sz="4" w:space="0" w:color="D3D3D3"/>
            </w:tcBorders>
            <w:shd w:val="clear" w:color="auto" w:fill="auto"/>
            <w:vAlign w:val="center"/>
            <w:hideMark/>
          </w:tcPr>
          <w:p w14:paraId="6B95843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 </w:t>
            </w:r>
          </w:p>
        </w:tc>
        <w:tc>
          <w:tcPr>
            <w:tcW w:w="539" w:type="dxa"/>
            <w:tcBorders>
              <w:top w:val="nil"/>
              <w:left w:val="nil"/>
              <w:bottom w:val="single" w:sz="4" w:space="0" w:color="D3D3D3"/>
              <w:right w:val="single" w:sz="4" w:space="0" w:color="D3D3D3"/>
            </w:tcBorders>
            <w:shd w:val="clear" w:color="auto" w:fill="auto"/>
            <w:vAlign w:val="center"/>
            <w:hideMark/>
          </w:tcPr>
          <w:p w14:paraId="61FE6AF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7 </w:t>
            </w:r>
          </w:p>
        </w:tc>
        <w:tc>
          <w:tcPr>
            <w:tcW w:w="567" w:type="dxa"/>
            <w:tcBorders>
              <w:top w:val="nil"/>
              <w:left w:val="nil"/>
              <w:bottom w:val="single" w:sz="4" w:space="0" w:color="D3D3D3"/>
              <w:right w:val="single" w:sz="4" w:space="0" w:color="D3D3D3"/>
            </w:tcBorders>
            <w:shd w:val="clear" w:color="auto" w:fill="auto"/>
            <w:vAlign w:val="center"/>
            <w:hideMark/>
          </w:tcPr>
          <w:p w14:paraId="785AE4C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10 </w:t>
            </w:r>
          </w:p>
        </w:tc>
        <w:tc>
          <w:tcPr>
            <w:tcW w:w="0" w:type="auto"/>
            <w:tcBorders>
              <w:top w:val="nil"/>
              <w:left w:val="nil"/>
              <w:bottom w:val="single" w:sz="4" w:space="0" w:color="D3D3D3"/>
              <w:right w:val="single" w:sz="4" w:space="0" w:color="D3D3D3"/>
            </w:tcBorders>
            <w:shd w:val="clear" w:color="auto" w:fill="auto"/>
            <w:vAlign w:val="center"/>
            <w:hideMark/>
          </w:tcPr>
          <w:p w14:paraId="52080FC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12 </w:t>
            </w:r>
          </w:p>
        </w:tc>
        <w:tc>
          <w:tcPr>
            <w:tcW w:w="0" w:type="auto"/>
            <w:tcBorders>
              <w:top w:val="nil"/>
              <w:left w:val="nil"/>
              <w:bottom w:val="single" w:sz="4" w:space="0" w:color="D3D3D3"/>
              <w:right w:val="single" w:sz="4" w:space="0" w:color="D3D3D3"/>
            </w:tcBorders>
            <w:shd w:val="clear" w:color="auto" w:fill="auto"/>
            <w:vAlign w:val="center"/>
            <w:hideMark/>
          </w:tcPr>
          <w:p w14:paraId="1A51D21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13 </w:t>
            </w:r>
          </w:p>
        </w:tc>
        <w:tc>
          <w:tcPr>
            <w:tcW w:w="0" w:type="auto"/>
            <w:tcBorders>
              <w:top w:val="nil"/>
              <w:left w:val="nil"/>
              <w:bottom w:val="single" w:sz="4" w:space="0" w:color="D3D3D3"/>
              <w:right w:val="single" w:sz="4" w:space="0" w:color="D3D3D3"/>
            </w:tcBorders>
            <w:shd w:val="clear" w:color="auto" w:fill="auto"/>
            <w:vAlign w:val="center"/>
            <w:hideMark/>
          </w:tcPr>
          <w:p w14:paraId="4FF631F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26 </w:t>
            </w:r>
          </w:p>
        </w:tc>
        <w:tc>
          <w:tcPr>
            <w:tcW w:w="0" w:type="auto"/>
            <w:tcBorders>
              <w:top w:val="nil"/>
              <w:left w:val="nil"/>
              <w:bottom w:val="single" w:sz="4" w:space="0" w:color="D3D3D3"/>
              <w:right w:val="single" w:sz="4" w:space="0" w:color="D3D3D3"/>
            </w:tcBorders>
            <w:shd w:val="clear" w:color="auto" w:fill="auto"/>
            <w:vAlign w:val="center"/>
            <w:hideMark/>
          </w:tcPr>
          <w:p w14:paraId="32E7E0F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11 </w:t>
            </w:r>
          </w:p>
        </w:tc>
        <w:tc>
          <w:tcPr>
            <w:tcW w:w="0" w:type="auto"/>
            <w:tcBorders>
              <w:top w:val="nil"/>
              <w:left w:val="nil"/>
              <w:bottom w:val="single" w:sz="4" w:space="0" w:color="D3D3D3"/>
              <w:right w:val="single" w:sz="4" w:space="0" w:color="D3D3D3"/>
            </w:tcBorders>
            <w:shd w:val="clear" w:color="auto" w:fill="auto"/>
            <w:vAlign w:val="center"/>
            <w:hideMark/>
          </w:tcPr>
          <w:p w14:paraId="04AE56D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22 </w:t>
            </w:r>
          </w:p>
        </w:tc>
        <w:tc>
          <w:tcPr>
            <w:tcW w:w="0" w:type="auto"/>
            <w:tcBorders>
              <w:top w:val="nil"/>
              <w:left w:val="nil"/>
              <w:bottom w:val="single" w:sz="4" w:space="0" w:color="D3D3D3"/>
              <w:right w:val="single" w:sz="4" w:space="0" w:color="D3D3D3"/>
            </w:tcBorders>
            <w:shd w:val="clear" w:color="auto" w:fill="auto"/>
            <w:vAlign w:val="center"/>
            <w:hideMark/>
          </w:tcPr>
          <w:p w14:paraId="2F45902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1AB713A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7C7A13C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105 </w:t>
            </w:r>
          </w:p>
        </w:tc>
      </w:tr>
      <w:tr w:rsidR="00D25704" w:rsidRPr="002528F9" w14:paraId="09588964"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61BC40A3"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St Anne</w:t>
            </w:r>
          </w:p>
        </w:tc>
        <w:tc>
          <w:tcPr>
            <w:tcW w:w="1047" w:type="dxa"/>
            <w:tcBorders>
              <w:top w:val="nil"/>
              <w:left w:val="nil"/>
              <w:bottom w:val="single" w:sz="4" w:space="0" w:color="D3D3D3"/>
              <w:right w:val="single" w:sz="4" w:space="0" w:color="D3D3D3"/>
            </w:tcBorders>
            <w:shd w:val="clear" w:color="000000" w:fill="708090"/>
            <w:hideMark/>
          </w:tcPr>
          <w:p w14:paraId="0E089FA2" w14:textId="7BDAD78E"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F</w:t>
            </w:r>
            <w:r w:rsidR="00AD0D88">
              <w:rPr>
                <w:rFonts w:ascii="Lato" w:eastAsia="Times New Roman" w:hAnsi="Lato" w:cs="Tahoma"/>
                <w:color w:val="FFFFFF"/>
                <w:sz w:val="18"/>
                <w:szCs w:val="18"/>
                <w:lang w:eastAsia="en-CA"/>
              </w:rPr>
              <w:t>rench Immersion</w:t>
            </w:r>
          </w:p>
        </w:tc>
        <w:tc>
          <w:tcPr>
            <w:tcW w:w="758" w:type="dxa"/>
            <w:tcBorders>
              <w:top w:val="nil"/>
              <w:left w:val="nil"/>
              <w:bottom w:val="single" w:sz="4" w:space="0" w:color="D3D3D3"/>
              <w:right w:val="single" w:sz="4" w:space="0" w:color="D3D3D3"/>
            </w:tcBorders>
            <w:shd w:val="clear" w:color="auto" w:fill="auto"/>
            <w:vAlign w:val="center"/>
            <w:hideMark/>
          </w:tcPr>
          <w:p w14:paraId="7BE0CB5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8 </w:t>
            </w:r>
          </w:p>
        </w:tc>
        <w:tc>
          <w:tcPr>
            <w:tcW w:w="539" w:type="dxa"/>
            <w:tcBorders>
              <w:top w:val="nil"/>
              <w:left w:val="nil"/>
              <w:bottom w:val="single" w:sz="4" w:space="0" w:color="D3D3D3"/>
              <w:right w:val="single" w:sz="4" w:space="0" w:color="D3D3D3"/>
            </w:tcBorders>
            <w:shd w:val="clear" w:color="auto" w:fill="auto"/>
            <w:vAlign w:val="center"/>
            <w:hideMark/>
          </w:tcPr>
          <w:p w14:paraId="79E5990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9 </w:t>
            </w:r>
          </w:p>
        </w:tc>
        <w:tc>
          <w:tcPr>
            <w:tcW w:w="567" w:type="dxa"/>
            <w:tcBorders>
              <w:top w:val="nil"/>
              <w:left w:val="nil"/>
              <w:bottom w:val="single" w:sz="4" w:space="0" w:color="D3D3D3"/>
              <w:right w:val="single" w:sz="4" w:space="0" w:color="D3D3D3"/>
            </w:tcBorders>
            <w:shd w:val="clear" w:color="auto" w:fill="auto"/>
            <w:vAlign w:val="center"/>
            <w:hideMark/>
          </w:tcPr>
          <w:p w14:paraId="782B917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13 </w:t>
            </w:r>
          </w:p>
        </w:tc>
        <w:tc>
          <w:tcPr>
            <w:tcW w:w="0" w:type="auto"/>
            <w:tcBorders>
              <w:top w:val="nil"/>
              <w:left w:val="nil"/>
              <w:bottom w:val="single" w:sz="4" w:space="0" w:color="D3D3D3"/>
              <w:right w:val="single" w:sz="4" w:space="0" w:color="D3D3D3"/>
            </w:tcBorders>
            <w:shd w:val="clear" w:color="auto" w:fill="auto"/>
            <w:vAlign w:val="center"/>
            <w:hideMark/>
          </w:tcPr>
          <w:p w14:paraId="3A78041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12 </w:t>
            </w:r>
          </w:p>
        </w:tc>
        <w:tc>
          <w:tcPr>
            <w:tcW w:w="0" w:type="auto"/>
            <w:tcBorders>
              <w:top w:val="nil"/>
              <w:left w:val="nil"/>
              <w:bottom w:val="single" w:sz="4" w:space="0" w:color="D3D3D3"/>
              <w:right w:val="single" w:sz="4" w:space="0" w:color="D3D3D3"/>
            </w:tcBorders>
            <w:shd w:val="clear" w:color="auto" w:fill="auto"/>
            <w:vAlign w:val="center"/>
            <w:hideMark/>
          </w:tcPr>
          <w:p w14:paraId="2942481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9 </w:t>
            </w:r>
          </w:p>
        </w:tc>
        <w:tc>
          <w:tcPr>
            <w:tcW w:w="0" w:type="auto"/>
            <w:tcBorders>
              <w:top w:val="nil"/>
              <w:left w:val="nil"/>
              <w:bottom w:val="single" w:sz="4" w:space="0" w:color="D3D3D3"/>
              <w:right w:val="single" w:sz="4" w:space="0" w:color="D3D3D3"/>
            </w:tcBorders>
            <w:shd w:val="clear" w:color="auto" w:fill="auto"/>
            <w:vAlign w:val="center"/>
            <w:hideMark/>
          </w:tcPr>
          <w:p w14:paraId="6ED5653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14 </w:t>
            </w:r>
          </w:p>
        </w:tc>
        <w:tc>
          <w:tcPr>
            <w:tcW w:w="0" w:type="auto"/>
            <w:tcBorders>
              <w:top w:val="nil"/>
              <w:left w:val="nil"/>
              <w:bottom w:val="single" w:sz="4" w:space="0" w:color="D3D3D3"/>
              <w:right w:val="single" w:sz="4" w:space="0" w:color="D3D3D3"/>
            </w:tcBorders>
            <w:shd w:val="clear" w:color="auto" w:fill="auto"/>
            <w:vAlign w:val="center"/>
            <w:hideMark/>
          </w:tcPr>
          <w:p w14:paraId="0B99B3C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15 </w:t>
            </w:r>
          </w:p>
        </w:tc>
        <w:tc>
          <w:tcPr>
            <w:tcW w:w="0" w:type="auto"/>
            <w:tcBorders>
              <w:top w:val="nil"/>
              <w:left w:val="nil"/>
              <w:bottom w:val="single" w:sz="4" w:space="0" w:color="D3D3D3"/>
              <w:right w:val="single" w:sz="4" w:space="0" w:color="D3D3D3"/>
            </w:tcBorders>
            <w:shd w:val="clear" w:color="auto" w:fill="auto"/>
            <w:vAlign w:val="center"/>
            <w:hideMark/>
          </w:tcPr>
          <w:p w14:paraId="22935C7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13 </w:t>
            </w:r>
          </w:p>
        </w:tc>
        <w:tc>
          <w:tcPr>
            <w:tcW w:w="0" w:type="auto"/>
            <w:tcBorders>
              <w:top w:val="nil"/>
              <w:left w:val="nil"/>
              <w:bottom w:val="single" w:sz="4" w:space="0" w:color="D3D3D3"/>
              <w:right w:val="single" w:sz="4" w:space="0" w:color="D3D3D3"/>
            </w:tcBorders>
            <w:shd w:val="clear" w:color="auto" w:fill="auto"/>
            <w:vAlign w:val="center"/>
            <w:hideMark/>
          </w:tcPr>
          <w:p w14:paraId="0A4F4CC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1F401D7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79B7558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93 </w:t>
            </w:r>
          </w:p>
        </w:tc>
      </w:tr>
      <w:tr w:rsidR="00D25704" w:rsidRPr="002528F9" w14:paraId="592CECC9"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249B6C1D"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798F6382"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single" w:sz="4" w:space="0" w:color="auto"/>
              <w:left w:val="nil"/>
              <w:bottom w:val="single" w:sz="4" w:space="0" w:color="auto"/>
              <w:right w:val="single" w:sz="4" w:space="0" w:color="D3D3D3"/>
            </w:tcBorders>
            <w:shd w:val="clear" w:color="auto" w:fill="auto"/>
            <w:vAlign w:val="center"/>
            <w:hideMark/>
          </w:tcPr>
          <w:p w14:paraId="0CE95D4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12 </w:t>
            </w:r>
          </w:p>
        </w:tc>
        <w:tc>
          <w:tcPr>
            <w:tcW w:w="539" w:type="dxa"/>
            <w:tcBorders>
              <w:top w:val="single" w:sz="4" w:space="0" w:color="auto"/>
              <w:left w:val="nil"/>
              <w:bottom w:val="single" w:sz="4" w:space="0" w:color="auto"/>
              <w:right w:val="single" w:sz="4" w:space="0" w:color="D3D3D3"/>
            </w:tcBorders>
            <w:shd w:val="clear" w:color="auto" w:fill="auto"/>
            <w:vAlign w:val="center"/>
            <w:hideMark/>
          </w:tcPr>
          <w:p w14:paraId="6FAD1C2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16 </w:t>
            </w:r>
          </w:p>
        </w:tc>
        <w:tc>
          <w:tcPr>
            <w:tcW w:w="567" w:type="dxa"/>
            <w:tcBorders>
              <w:top w:val="single" w:sz="4" w:space="0" w:color="auto"/>
              <w:left w:val="nil"/>
              <w:bottom w:val="single" w:sz="4" w:space="0" w:color="auto"/>
              <w:right w:val="single" w:sz="4" w:space="0" w:color="D3D3D3"/>
            </w:tcBorders>
            <w:shd w:val="clear" w:color="auto" w:fill="auto"/>
            <w:vAlign w:val="center"/>
            <w:hideMark/>
          </w:tcPr>
          <w:p w14:paraId="5F1ED5F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23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3D02787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24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22D40EA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22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3C42D09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6A492C5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26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1436C64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35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1461158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6B842C1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762" w:type="dxa"/>
            <w:tcBorders>
              <w:top w:val="single" w:sz="4" w:space="0" w:color="auto"/>
              <w:left w:val="nil"/>
              <w:bottom w:val="single" w:sz="4" w:space="0" w:color="auto"/>
              <w:right w:val="single" w:sz="4" w:space="0" w:color="D3D3D3"/>
            </w:tcBorders>
            <w:shd w:val="clear" w:color="auto" w:fill="auto"/>
            <w:vAlign w:val="center"/>
            <w:hideMark/>
          </w:tcPr>
          <w:p w14:paraId="489D64B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198 </w:t>
            </w:r>
          </w:p>
        </w:tc>
      </w:tr>
      <w:tr w:rsidR="00D25704" w:rsidRPr="002528F9" w14:paraId="11DF9B8A"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2B84B8FB"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1DB9467C"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nil"/>
              <w:left w:val="nil"/>
              <w:bottom w:val="single" w:sz="4" w:space="0" w:color="D3D3D3"/>
              <w:right w:val="single" w:sz="4" w:space="0" w:color="D3D3D3"/>
            </w:tcBorders>
            <w:shd w:val="clear" w:color="auto" w:fill="auto"/>
            <w:vAlign w:val="center"/>
            <w:hideMark/>
          </w:tcPr>
          <w:p w14:paraId="67D1B99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single" w:sz="4" w:space="0" w:color="D3D3D3"/>
              <w:left w:val="nil"/>
              <w:bottom w:val="single" w:sz="4" w:space="0" w:color="D3D3D3"/>
              <w:right w:val="single" w:sz="4" w:space="0" w:color="D3D3D3"/>
            </w:tcBorders>
            <w:shd w:val="clear" w:color="auto" w:fill="auto"/>
            <w:vAlign w:val="center"/>
            <w:hideMark/>
          </w:tcPr>
          <w:p w14:paraId="73C9DF0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single" w:sz="4" w:space="0" w:color="D3D3D3"/>
              <w:left w:val="nil"/>
              <w:bottom w:val="single" w:sz="4" w:space="0" w:color="D3D3D3"/>
              <w:right w:val="single" w:sz="4" w:space="0" w:color="D3D3D3"/>
            </w:tcBorders>
            <w:shd w:val="clear" w:color="auto" w:fill="auto"/>
            <w:vAlign w:val="center"/>
            <w:hideMark/>
          </w:tcPr>
          <w:p w14:paraId="227EBF9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738954A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768279F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068DE22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0C29E1E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3DCB94A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4611FC8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3B1142D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single" w:sz="4" w:space="0" w:color="D3D3D3"/>
              <w:left w:val="nil"/>
              <w:bottom w:val="single" w:sz="4" w:space="0" w:color="D3D3D3"/>
              <w:right w:val="single" w:sz="4" w:space="0" w:color="D3D3D3"/>
            </w:tcBorders>
            <w:shd w:val="clear" w:color="auto" w:fill="auto"/>
            <w:vAlign w:val="center"/>
            <w:hideMark/>
          </w:tcPr>
          <w:p w14:paraId="203E521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r>
      <w:tr w:rsidR="00D25704" w:rsidRPr="002528F9" w14:paraId="21DCCFB7"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4A5EC18B"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St Benedict CSS (7-8)</w:t>
            </w:r>
          </w:p>
        </w:tc>
        <w:tc>
          <w:tcPr>
            <w:tcW w:w="1047" w:type="dxa"/>
            <w:tcBorders>
              <w:top w:val="nil"/>
              <w:left w:val="nil"/>
              <w:bottom w:val="single" w:sz="4" w:space="0" w:color="D3D3D3"/>
              <w:right w:val="single" w:sz="4" w:space="0" w:color="D3D3D3"/>
            </w:tcBorders>
            <w:shd w:val="clear" w:color="000000" w:fill="708090"/>
            <w:hideMark/>
          </w:tcPr>
          <w:p w14:paraId="3033C51E" w14:textId="384F7A54"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R</w:t>
            </w:r>
            <w:r w:rsidR="00AD0D88">
              <w:rPr>
                <w:rFonts w:ascii="Lato" w:eastAsia="Times New Roman" w:hAnsi="Lato" w:cs="Tahoma"/>
                <w:color w:val="FFFFFF"/>
                <w:sz w:val="18"/>
                <w:szCs w:val="18"/>
                <w:lang w:eastAsia="en-CA"/>
              </w:rPr>
              <w:t>egular</w:t>
            </w:r>
          </w:p>
        </w:tc>
        <w:tc>
          <w:tcPr>
            <w:tcW w:w="758" w:type="dxa"/>
            <w:tcBorders>
              <w:top w:val="nil"/>
              <w:left w:val="nil"/>
              <w:bottom w:val="single" w:sz="4" w:space="0" w:color="D3D3D3"/>
              <w:right w:val="single" w:sz="4" w:space="0" w:color="D3D3D3"/>
            </w:tcBorders>
            <w:shd w:val="clear" w:color="auto" w:fill="auto"/>
            <w:vAlign w:val="center"/>
            <w:hideMark/>
          </w:tcPr>
          <w:p w14:paraId="4D1DDEA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nil"/>
              <w:left w:val="nil"/>
              <w:bottom w:val="single" w:sz="4" w:space="0" w:color="D3D3D3"/>
              <w:right w:val="single" w:sz="4" w:space="0" w:color="D3D3D3"/>
            </w:tcBorders>
            <w:shd w:val="clear" w:color="auto" w:fill="auto"/>
            <w:vAlign w:val="center"/>
            <w:hideMark/>
          </w:tcPr>
          <w:p w14:paraId="0DF35C7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nil"/>
              <w:left w:val="nil"/>
              <w:bottom w:val="single" w:sz="4" w:space="0" w:color="D3D3D3"/>
              <w:right w:val="single" w:sz="4" w:space="0" w:color="D3D3D3"/>
            </w:tcBorders>
            <w:shd w:val="clear" w:color="auto" w:fill="auto"/>
            <w:vAlign w:val="center"/>
            <w:hideMark/>
          </w:tcPr>
          <w:p w14:paraId="4C2F637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5107164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17EEAA6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3A0B76D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64DA54D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26F5B44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3B12623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83 </w:t>
            </w:r>
          </w:p>
        </w:tc>
        <w:tc>
          <w:tcPr>
            <w:tcW w:w="0" w:type="auto"/>
            <w:tcBorders>
              <w:top w:val="nil"/>
              <w:left w:val="nil"/>
              <w:bottom w:val="single" w:sz="4" w:space="0" w:color="D3D3D3"/>
              <w:right w:val="single" w:sz="4" w:space="0" w:color="D3D3D3"/>
            </w:tcBorders>
            <w:shd w:val="clear" w:color="auto" w:fill="auto"/>
            <w:vAlign w:val="center"/>
            <w:hideMark/>
          </w:tcPr>
          <w:p w14:paraId="4B4E779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104 </w:t>
            </w:r>
          </w:p>
        </w:tc>
        <w:tc>
          <w:tcPr>
            <w:tcW w:w="762" w:type="dxa"/>
            <w:tcBorders>
              <w:top w:val="nil"/>
              <w:left w:val="nil"/>
              <w:bottom w:val="single" w:sz="4" w:space="0" w:color="D3D3D3"/>
              <w:right w:val="single" w:sz="4" w:space="0" w:color="D3D3D3"/>
            </w:tcBorders>
            <w:shd w:val="clear" w:color="auto" w:fill="auto"/>
            <w:vAlign w:val="center"/>
            <w:hideMark/>
          </w:tcPr>
          <w:p w14:paraId="1C4F1B7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187 </w:t>
            </w:r>
          </w:p>
        </w:tc>
      </w:tr>
      <w:tr w:rsidR="00D25704" w:rsidRPr="002528F9" w14:paraId="74DD50C1"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2F195727"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St Benedict CSS (7-8)</w:t>
            </w:r>
          </w:p>
        </w:tc>
        <w:tc>
          <w:tcPr>
            <w:tcW w:w="1047" w:type="dxa"/>
            <w:tcBorders>
              <w:top w:val="nil"/>
              <w:left w:val="nil"/>
              <w:bottom w:val="single" w:sz="4" w:space="0" w:color="D3D3D3"/>
              <w:right w:val="single" w:sz="4" w:space="0" w:color="D3D3D3"/>
            </w:tcBorders>
            <w:shd w:val="clear" w:color="000000" w:fill="708090"/>
            <w:hideMark/>
          </w:tcPr>
          <w:p w14:paraId="7A314B6E" w14:textId="2C3098FA"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F</w:t>
            </w:r>
            <w:r w:rsidR="00AD0D88">
              <w:rPr>
                <w:rFonts w:ascii="Lato" w:eastAsia="Times New Roman" w:hAnsi="Lato" w:cs="Tahoma"/>
                <w:color w:val="FFFFFF"/>
                <w:sz w:val="18"/>
                <w:szCs w:val="18"/>
                <w:lang w:eastAsia="en-CA"/>
              </w:rPr>
              <w:t>rench Immersion</w:t>
            </w:r>
          </w:p>
        </w:tc>
        <w:tc>
          <w:tcPr>
            <w:tcW w:w="758" w:type="dxa"/>
            <w:tcBorders>
              <w:top w:val="nil"/>
              <w:left w:val="nil"/>
              <w:bottom w:val="single" w:sz="4" w:space="0" w:color="D3D3D3"/>
              <w:right w:val="single" w:sz="4" w:space="0" w:color="D3D3D3"/>
            </w:tcBorders>
            <w:shd w:val="clear" w:color="auto" w:fill="auto"/>
            <w:vAlign w:val="center"/>
            <w:hideMark/>
          </w:tcPr>
          <w:p w14:paraId="5027BA1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nil"/>
              <w:left w:val="nil"/>
              <w:bottom w:val="single" w:sz="4" w:space="0" w:color="D3D3D3"/>
              <w:right w:val="single" w:sz="4" w:space="0" w:color="D3D3D3"/>
            </w:tcBorders>
            <w:shd w:val="clear" w:color="auto" w:fill="auto"/>
            <w:vAlign w:val="center"/>
            <w:hideMark/>
          </w:tcPr>
          <w:p w14:paraId="1F1BCDD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nil"/>
              <w:left w:val="nil"/>
              <w:bottom w:val="single" w:sz="4" w:space="0" w:color="D3D3D3"/>
              <w:right w:val="single" w:sz="4" w:space="0" w:color="D3D3D3"/>
            </w:tcBorders>
            <w:shd w:val="clear" w:color="auto" w:fill="auto"/>
            <w:vAlign w:val="center"/>
            <w:hideMark/>
          </w:tcPr>
          <w:p w14:paraId="08B3984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6CE4BA7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1DD28B0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312C41B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09E1EFD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3BBA9CD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0120A60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25 </w:t>
            </w:r>
          </w:p>
        </w:tc>
        <w:tc>
          <w:tcPr>
            <w:tcW w:w="0" w:type="auto"/>
            <w:tcBorders>
              <w:top w:val="nil"/>
              <w:left w:val="nil"/>
              <w:bottom w:val="single" w:sz="4" w:space="0" w:color="D3D3D3"/>
              <w:right w:val="single" w:sz="4" w:space="0" w:color="D3D3D3"/>
            </w:tcBorders>
            <w:shd w:val="clear" w:color="auto" w:fill="auto"/>
            <w:vAlign w:val="center"/>
            <w:hideMark/>
          </w:tcPr>
          <w:p w14:paraId="5C8D0E1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20 </w:t>
            </w:r>
          </w:p>
        </w:tc>
        <w:tc>
          <w:tcPr>
            <w:tcW w:w="762" w:type="dxa"/>
            <w:tcBorders>
              <w:top w:val="nil"/>
              <w:left w:val="nil"/>
              <w:bottom w:val="single" w:sz="4" w:space="0" w:color="D3D3D3"/>
              <w:right w:val="single" w:sz="4" w:space="0" w:color="D3D3D3"/>
            </w:tcBorders>
            <w:shd w:val="clear" w:color="auto" w:fill="auto"/>
            <w:vAlign w:val="center"/>
            <w:hideMark/>
          </w:tcPr>
          <w:p w14:paraId="2A61614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45 </w:t>
            </w:r>
          </w:p>
        </w:tc>
      </w:tr>
      <w:tr w:rsidR="00D25704" w:rsidRPr="002528F9" w14:paraId="5BF76C28"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69700142"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08ED38A4"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single" w:sz="4" w:space="0" w:color="auto"/>
              <w:left w:val="nil"/>
              <w:bottom w:val="single" w:sz="4" w:space="0" w:color="auto"/>
              <w:right w:val="single" w:sz="4" w:space="0" w:color="D3D3D3"/>
            </w:tcBorders>
            <w:shd w:val="clear" w:color="auto" w:fill="auto"/>
            <w:vAlign w:val="center"/>
            <w:hideMark/>
          </w:tcPr>
          <w:p w14:paraId="0FA2A22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539" w:type="dxa"/>
            <w:tcBorders>
              <w:top w:val="single" w:sz="4" w:space="0" w:color="auto"/>
              <w:left w:val="nil"/>
              <w:bottom w:val="single" w:sz="4" w:space="0" w:color="auto"/>
              <w:right w:val="single" w:sz="4" w:space="0" w:color="D3D3D3"/>
            </w:tcBorders>
            <w:shd w:val="clear" w:color="auto" w:fill="auto"/>
            <w:vAlign w:val="center"/>
            <w:hideMark/>
          </w:tcPr>
          <w:p w14:paraId="6D32887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567" w:type="dxa"/>
            <w:tcBorders>
              <w:top w:val="single" w:sz="4" w:space="0" w:color="auto"/>
              <w:left w:val="nil"/>
              <w:bottom w:val="single" w:sz="4" w:space="0" w:color="auto"/>
              <w:right w:val="single" w:sz="4" w:space="0" w:color="D3D3D3"/>
            </w:tcBorders>
            <w:shd w:val="clear" w:color="auto" w:fill="auto"/>
            <w:vAlign w:val="center"/>
            <w:hideMark/>
          </w:tcPr>
          <w:p w14:paraId="46A9BA6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78601F5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1A9F090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6229080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5B27171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05ADBFE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75A8902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108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5EAF3D0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124 </w:t>
            </w:r>
          </w:p>
        </w:tc>
        <w:tc>
          <w:tcPr>
            <w:tcW w:w="762" w:type="dxa"/>
            <w:tcBorders>
              <w:top w:val="single" w:sz="4" w:space="0" w:color="auto"/>
              <w:left w:val="nil"/>
              <w:bottom w:val="single" w:sz="4" w:space="0" w:color="auto"/>
              <w:right w:val="single" w:sz="4" w:space="0" w:color="D3D3D3"/>
            </w:tcBorders>
            <w:shd w:val="clear" w:color="auto" w:fill="auto"/>
            <w:vAlign w:val="center"/>
            <w:hideMark/>
          </w:tcPr>
          <w:p w14:paraId="03C5F29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232 </w:t>
            </w:r>
          </w:p>
        </w:tc>
      </w:tr>
      <w:tr w:rsidR="00AD0D88" w:rsidRPr="002528F9" w14:paraId="388F2DF6"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tcPr>
          <w:p w14:paraId="5962CE25" w14:textId="77777777" w:rsidR="00AD0D88" w:rsidRPr="002528F9" w:rsidRDefault="00AD0D88" w:rsidP="002528F9">
            <w:pPr>
              <w:spacing w:after="0" w:line="240" w:lineRule="auto"/>
              <w:rPr>
                <w:rFonts w:ascii="Lato" w:eastAsia="Times New Roman" w:hAnsi="Lato" w:cs="Tahoma"/>
                <w:color w:val="FFFFFF"/>
                <w:sz w:val="18"/>
                <w:szCs w:val="18"/>
                <w:lang w:eastAsia="en-CA"/>
              </w:rPr>
            </w:pPr>
          </w:p>
        </w:tc>
        <w:tc>
          <w:tcPr>
            <w:tcW w:w="1047" w:type="dxa"/>
            <w:tcBorders>
              <w:top w:val="nil"/>
              <w:left w:val="nil"/>
              <w:bottom w:val="single" w:sz="4" w:space="0" w:color="D3D3D3"/>
              <w:right w:val="single" w:sz="4" w:space="0" w:color="D3D3D3"/>
            </w:tcBorders>
            <w:shd w:val="clear" w:color="000000" w:fill="708090"/>
          </w:tcPr>
          <w:p w14:paraId="3E8B3B6E" w14:textId="77777777" w:rsidR="00AD0D88" w:rsidRPr="002528F9" w:rsidRDefault="00AD0D88" w:rsidP="002528F9">
            <w:pPr>
              <w:spacing w:after="0" w:line="240" w:lineRule="auto"/>
              <w:rPr>
                <w:rFonts w:ascii="Lato" w:eastAsia="Times New Roman" w:hAnsi="Lato" w:cs="Tahoma"/>
                <w:color w:val="FFFFFF"/>
                <w:sz w:val="18"/>
                <w:szCs w:val="18"/>
                <w:lang w:eastAsia="en-CA"/>
              </w:rPr>
            </w:pPr>
          </w:p>
        </w:tc>
        <w:tc>
          <w:tcPr>
            <w:tcW w:w="758" w:type="dxa"/>
            <w:tcBorders>
              <w:top w:val="single" w:sz="4" w:space="0" w:color="auto"/>
              <w:left w:val="nil"/>
              <w:bottom w:val="single" w:sz="4" w:space="0" w:color="auto"/>
              <w:right w:val="single" w:sz="4" w:space="0" w:color="D3D3D3"/>
            </w:tcBorders>
            <w:shd w:val="clear" w:color="auto" w:fill="auto"/>
            <w:vAlign w:val="center"/>
          </w:tcPr>
          <w:p w14:paraId="7E73CA91" w14:textId="77777777" w:rsidR="00AD0D88" w:rsidRPr="002528F9" w:rsidRDefault="00AD0D88" w:rsidP="002528F9">
            <w:pPr>
              <w:spacing w:after="0" w:line="240" w:lineRule="auto"/>
              <w:jc w:val="center"/>
              <w:rPr>
                <w:rFonts w:ascii="Lato" w:eastAsia="Times New Roman" w:hAnsi="Lato" w:cs="Tahoma"/>
                <w:sz w:val="18"/>
                <w:szCs w:val="18"/>
                <w:lang w:eastAsia="en-CA"/>
              </w:rPr>
            </w:pPr>
          </w:p>
        </w:tc>
        <w:tc>
          <w:tcPr>
            <w:tcW w:w="539" w:type="dxa"/>
            <w:tcBorders>
              <w:top w:val="single" w:sz="4" w:space="0" w:color="auto"/>
              <w:left w:val="nil"/>
              <w:bottom w:val="single" w:sz="4" w:space="0" w:color="auto"/>
              <w:right w:val="single" w:sz="4" w:space="0" w:color="D3D3D3"/>
            </w:tcBorders>
            <w:shd w:val="clear" w:color="auto" w:fill="auto"/>
            <w:vAlign w:val="center"/>
          </w:tcPr>
          <w:p w14:paraId="3B2F1430" w14:textId="77777777" w:rsidR="00AD0D88" w:rsidRPr="002528F9" w:rsidRDefault="00AD0D88" w:rsidP="002528F9">
            <w:pPr>
              <w:spacing w:after="0" w:line="240" w:lineRule="auto"/>
              <w:jc w:val="center"/>
              <w:rPr>
                <w:rFonts w:ascii="Lato" w:eastAsia="Times New Roman" w:hAnsi="Lato" w:cs="Tahoma"/>
                <w:sz w:val="18"/>
                <w:szCs w:val="18"/>
                <w:lang w:eastAsia="en-CA"/>
              </w:rPr>
            </w:pPr>
          </w:p>
        </w:tc>
        <w:tc>
          <w:tcPr>
            <w:tcW w:w="567" w:type="dxa"/>
            <w:tcBorders>
              <w:top w:val="single" w:sz="4" w:space="0" w:color="auto"/>
              <w:left w:val="nil"/>
              <w:bottom w:val="single" w:sz="4" w:space="0" w:color="auto"/>
              <w:right w:val="single" w:sz="4" w:space="0" w:color="D3D3D3"/>
            </w:tcBorders>
            <w:shd w:val="clear" w:color="auto" w:fill="auto"/>
            <w:vAlign w:val="center"/>
          </w:tcPr>
          <w:p w14:paraId="1826447D" w14:textId="77777777" w:rsidR="00AD0D88" w:rsidRPr="002528F9" w:rsidRDefault="00AD0D88" w:rsidP="002528F9">
            <w:pPr>
              <w:spacing w:after="0" w:line="240" w:lineRule="auto"/>
              <w:jc w:val="center"/>
              <w:rPr>
                <w:rFonts w:ascii="Lato" w:eastAsia="Times New Roman" w:hAnsi="Lato" w:cs="Tahoma"/>
                <w:sz w:val="18"/>
                <w:szCs w:val="18"/>
                <w:lang w:eastAsia="en-CA"/>
              </w:rPr>
            </w:pPr>
          </w:p>
        </w:tc>
        <w:tc>
          <w:tcPr>
            <w:tcW w:w="0" w:type="auto"/>
            <w:tcBorders>
              <w:top w:val="single" w:sz="4" w:space="0" w:color="auto"/>
              <w:left w:val="nil"/>
              <w:bottom w:val="single" w:sz="4" w:space="0" w:color="auto"/>
              <w:right w:val="single" w:sz="4" w:space="0" w:color="D3D3D3"/>
            </w:tcBorders>
            <w:shd w:val="clear" w:color="auto" w:fill="auto"/>
            <w:vAlign w:val="center"/>
          </w:tcPr>
          <w:p w14:paraId="0F1E3B17" w14:textId="77777777" w:rsidR="00AD0D88" w:rsidRPr="002528F9" w:rsidRDefault="00AD0D88" w:rsidP="002528F9">
            <w:pPr>
              <w:spacing w:after="0" w:line="240" w:lineRule="auto"/>
              <w:jc w:val="center"/>
              <w:rPr>
                <w:rFonts w:ascii="Lato" w:eastAsia="Times New Roman" w:hAnsi="Lato" w:cs="Tahoma"/>
                <w:sz w:val="18"/>
                <w:szCs w:val="18"/>
                <w:lang w:eastAsia="en-CA"/>
              </w:rPr>
            </w:pPr>
          </w:p>
        </w:tc>
        <w:tc>
          <w:tcPr>
            <w:tcW w:w="0" w:type="auto"/>
            <w:tcBorders>
              <w:top w:val="single" w:sz="4" w:space="0" w:color="auto"/>
              <w:left w:val="nil"/>
              <w:bottom w:val="single" w:sz="4" w:space="0" w:color="auto"/>
              <w:right w:val="single" w:sz="4" w:space="0" w:color="D3D3D3"/>
            </w:tcBorders>
            <w:shd w:val="clear" w:color="auto" w:fill="auto"/>
            <w:vAlign w:val="center"/>
          </w:tcPr>
          <w:p w14:paraId="15CDA65E" w14:textId="77777777" w:rsidR="00AD0D88" w:rsidRPr="002528F9" w:rsidRDefault="00AD0D88" w:rsidP="002528F9">
            <w:pPr>
              <w:spacing w:after="0" w:line="240" w:lineRule="auto"/>
              <w:jc w:val="center"/>
              <w:rPr>
                <w:rFonts w:ascii="Lato" w:eastAsia="Times New Roman" w:hAnsi="Lato" w:cs="Tahoma"/>
                <w:sz w:val="18"/>
                <w:szCs w:val="18"/>
                <w:lang w:eastAsia="en-CA"/>
              </w:rPr>
            </w:pPr>
          </w:p>
        </w:tc>
        <w:tc>
          <w:tcPr>
            <w:tcW w:w="0" w:type="auto"/>
            <w:tcBorders>
              <w:top w:val="single" w:sz="4" w:space="0" w:color="auto"/>
              <w:left w:val="nil"/>
              <w:bottom w:val="single" w:sz="4" w:space="0" w:color="auto"/>
              <w:right w:val="single" w:sz="4" w:space="0" w:color="D3D3D3"/>
            </w:tcBorders>
            <w:shd w:val="clear" w:color="auto" w:fill="auto"/>
            <w:vAlign w:val="center"/>
          </w:tcPr>
          <w:p w14:paraId="0D7422CB" w14:textId="77777777" w:rsidR="00AD0D88" w:rsidRPr="002528F9" w:rsidRDefault="00AD0D88" w:rsidP="002528F9">
            <w:pPr>
              <w:spacing w:after="0" w:line="240" w:lineRule="auto"/>
              <w:jc w:val="center"/>
              <w:rPr>
                <w:rFonts w:ascii="Lato" w:eastAsia="Times New Roman" w:hAnsi="Lato" w:cs="Tahoma"/>
                <w:sz w:val="18"/>
                <w:szCs w:val="18"/>
                <w:lang w:eastAsia="en-CA"/>
              </w:rPr>
            </w:pPr>
          </w:p>
        </w:tc>
        <w:tc>
          <w:tcPr>
            <w:tcW w:w="0" w:type="auto"/>
            <w:tcBorders>
              <w:top w:val="single" w:sz="4" w:space="0" w:color="auto"/>
              <w:left w:val="nil"/>
              <w:bottom w:val="single" w:sz="4" w:space="0" w:color="auto"/>
              <w:right w:val="single" w:sz="4" w:space="0" w:color="D3D3D3"/>
            </w:tcBorders>
            <w:shd w:val="clear" w:color="auto" w:fill="auto"/>
            <w:vAlign w:val="center"/>
          </w:tcPr>
          <w:p w14:paraId="3B677387" w14:textId="77777777" w:rsidR="00AD0D88" w:rsidRPr="002528F9" w:rsidRDefault="00AD0D88" w:rsidP="002528F9">
            <w:pPr>
              <w:spacing w:after="0" w:line="240" w:lineRule="auto"/>
              <w:jc w:val="center"/>
              <w:rPr>
                <w:rFonts w:ascii="Lato" w:eastAsia="Times New Roman" w:hAnsi="Lato" w:cs="Tahoma"/>
                <w:sz w:val="18"/>
                <w:szCs w:val="18"/>
                <w:lang w:eastAsia="en-CA"/>
              </w:rPr>
            </w:pPr>
          </w:p>
        </w:tc>
        <w:tc>
          <w:tcPr>
            <w:tcW w:w="0" w:type="auto"/>
            <w:tcBorders>
              <w:top w:val="single" w:sz="4" w:space="0" w:color="auto"/>
              <w:left w:val="nil"/>
              <w:bottom w:val="single" w:sz="4" w:space="0" w:color="auto"/>
              <w:right w:val="single" w:sz="4" w:space="0" w:color="D3D3D3"/>
            </w:tcBorders>
            <w:shd w:val="clear" w:color="auto" w:fill="auto"/>
            <w:vAlign w:val="center"/>
          </w:tcPr>
          <w:p w14:paraId="0AC7DB36" w14:textId="77777777" w:rsidR="00AD0D88" w:rsidRPr="002528F9" w:rsidRDefault="00AD0D88" w:rsidP="002528F9">
            <w:pPr>
              <w:spacing w:after="0" w:line="240" w:lineRule="auto"/>
              <w:jc w:val="center"/>
              <w:rPr>
                <w:rFonts w:ascii="Lato" w:eastAsia="Times New Roman" w:hAnsi="Lato" w:cs="Tahoma"/>
                <w:sz w:val="18"/>
                <w:szCs w:val="18"/>
                <w:lang w:eastAsia="en-CA"/>
              </w:rPr>
            </w:pPr>
          </w:p>
        </w:tc>
        <w:tc>
          <w:tcPr>
            <w:tcW w:w="0" w:type="auto"/>
            <w:tcBorders>
              <w:top w:val="single" w:sz="4" w:space="0" w:color="auto"/>
              <w:left w:val="nil"/>
              <w:bottom w:val="single" w:sz="4" w:space="0" w:color="auto"/>
              <w:right w:val="single" w:sz="4" w:space="0" w:color="D3D3D3"/>
            </w:tcBorders>
            <w:shd w:val="clear" w:color="auto" w:fill="auto"/>
            <w:vAlign w:val="center"/>
          </w:tcPr>
          <w:p w14:paraId="30315FF0" w14:textId="77777777" w:rsidR="00AD0D88" w:rsidRPr="002528F9" w:rsidRDefault="00AD0D88" w:rsidP="002528F9">
            <w:pPr>
              <w:spacing w:after="0" w:line="240" w:lineRule="auto"/>
              <w:jc w:val="center"/>
              <w:rPr>
                <w:rFonts w:ascii="Lato" w:eastAsia="Times New Roman" w:hAnsi="Lato" w:cs="Tahoma"/>
                <w:sz w:val="18"/>
                <w:szCs w:val="18"/>
                <w:lang w:eastAsia="en-CA"/>
              </w:rPr>
            </w:pPr>
          </w:p>
        </w:tc>
        <w:tc>
          <w:tcPr>
            <w:tcW w:w="0" w:type="auto"/>
            <w:tcBorders>
              <w:top w:val="single" w:sz="4" w:space="0" w:color="auto"/>
              <w:left w:val="nil"/>
              <w:bottom w:val="single" w:sz="4" w:space="0" w:color="auto"/>
              <w:right w:val="single" w:sz="4" w:space="0" w:color="D3D3D3"/>
            </w:tcBorders>
            <w:shd w:val="clear" w:color="auto" w:fill="auto"/>
            <w:vAlign w:val="center"/>
          </w:tcPr>
          <w:p w14:paraId="713A524D" w14:textId="77777777" w:rsidR="00AD0D88" w:rsidRPr="002528F9" w:rsidRDefault="00AD0D88" w:rsidP="002528F9">
            <w:pPr>
              <w:spacing w:after="0" w:line="240" w:lineRule="auto"/>
              <w:jc w:val="center"/>
              <w:rPr>
                <w:rFonts w:ascii="Lato" w:eastAsia="Times New Roman" w:hAnsi="Lato" w:cs="Tahoma"/>
                <w:sz w:val="18"/>
                <w:szCs w:val="18"/>
                <w:lang w:eastAsia="en-CA"/>
              </w:rPr>
            </w:pPr>
          </w:p>
        </w:tc>
        <w:tc>
          <w:tcPr>
            <w:tcW w:w="762" w:type="dxa"/>
            <w:tcBorders>
              <w:top w:val="single" w:sz="4" w:space="0" w:color="auto"/>
              <w:left w:val="nil"/>
              <w:bottom w:val="single" w:sz="4" w:space="0" w:color="auto"/>
              <w:right w:val="single" w:sz="4" w:space="0" w:color="D3D3D3"/>
            </w:tcBorders>
            <w:shd w:val="clear" w:color="auto" w:fill="auto"/>
            <w:vAlign w:val="center"/>
          </w:tcPr>
          <w:p w14:paraId="65744530" w14:textId="77777777" w:rsidR="00AD0D88" w:rsidRPr="002528F9" w:rsidRDefault="00AD0D88" w:rsidP="002528F9">
            <w:pPr>
              <w:spacing w:after="0" w:line="240" w:lineRule="auto"/>
              <w:jc w:val="center"/>
              <w:rPr>
                <w:rFonts w:ascii="Lato" w:eastAsia="Times New Roman" w:hAnsi="Lato" w:cs="Tahoma"/>
                <w:sz w:val="18"/>
                <w:szCs w:val="18"/>
                <w:lang w:eastAsia="en-CA"/>
              </w:rPr>
            </w:pPr>
          </w:p>
        </w:tc>
      </w:tr>
      <w:tr w:rsidR="00D25704" w:rsidRPr="002528F9" w14:paraId="662C36CC"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3DFD1F4F"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32A6FF4E"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nil"/>
              <w:left w:val="nil"/>
              <w:bottom w:val="single" w:sz="4" w:space="0" w:color="D3D3D3"/>
              <w:right w:val="single" w:sz="4" w:space="0" w:color="D3D3D3"/>
            </w:tcBorders>
            <w:shd w:val="clear" w:color="auto" w:fill="auto"/>
            <w:vAlign w:val="center"/>
            <w:hideMark/>
          </w:tcPr>
          <w:p w14:paraId="4B9D128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single" w:sz="4" w:space="0" w:color="D3D3D3"/>
              <w:left w:val="nil"/>
              <w:bottom w:val="single" w:sz="4" w:space="0" w:color="D3D3D3"/>
              <w:right w:val="single" w:sz="4" w:space="0" w:color="D3D3D3"/>
            </w:tcBorders>
            <w:shd w:val="clear" w:color="auto" w:fill="auto"/>
            <w:vAlign w:val="center"/>
            <w:hideMark/>
          </w:tcPr>
          <w:p w14:paraId="63DB970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single" w:sz="4" w:space="0" w:color="D3D3D3"/>
              <w:left w:val="nil"/>
              <w:bottom w:val="single" w:sz="4" w:space="0" w:color="D3D3D3"/>
              <w:right w:val="single" w:sz="4" w:space="0" w:color="D3D3D3"/>
            </w:tcBorders>
            <w:shd w:val="clear" w:color="auto" w:fill="auto"/>
            <w:vAlign w:val="center"/>
            <w:hideMark/>
          </w:tcPr>
          <w:p w14:paraId="7A3EFD2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5D81BD4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5547CC1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3E6CC8F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6E66CAA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78794C7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607795B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66B6C27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single" w:sz="4" w:space="0" w:color="D3D3D3"/>
              <w:left w:val="nil"/>
              <w:bottom w:val="single" w:sz="4" w:space="0" w:color="D3D3D3"/>
              <w:right w:val="single" w:sz="4" w:space="0" w:color="D3D3D3"/>
            </w:tcBorders>
            <w:shd w:val="clear" w:color="auto" w:fill="auto"/>
            <w:vAlign w:val="center"/>
            <w:hideMark/>
          </w:tcPr>
          <w:p w14:paraId="0C4FA2F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r>
      <w:tr w:rsidR="00D25704" w:rsidRPr="002528F9" w14:paraId="3CFF9BE9"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493F121E"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lastRenderedPageBreak/>
              <w:t>St Charles</w:t>
            </w:r>
          </w:p>
        </w:tc>
        <w:tc>
          <w:tcPr>
            <w:tcW w:w="1047" w:type="dxa"/>
            <w:tcBorders>
              <w:top w:val="nil"/>
              <w:left w:val="nil"/>
              <w:bottom w:val="single" w:sz="4" w:space="0" w:color="D3D3D3"/>
              <w:right w:val="single" w:sz="4" w:space="0" w:color="D3D3D3"/>
            </w:tcBorders>
            <w:shd w:val="clear" w:color="000000" w:fill="708090"/>
            <w:hideMark/>
          </w:tcPr>
          <w:p w14:paraId="13A6D2DB" w14:textId="545B5BF3"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R</w:t>
            </w:r>
            <w:r w:rsidR="00AD0D88">
              <w:rPr>
                <w:rFonts w:ascii="Lato" w:eastAsia="Times New Roman" w:hAnsi="Lato" w:cs="Tahoma"/>
                <w:color w:val="FFFFFF"/>
                <w:sz w:val="18"/>
                <w:szCs w:val="18"/>
                <w:lang w:eastAsia="en-CA"/>
              </w:rPr>
              <w:t>egular</w:t>
            </w:r>
          </w:p>
        </w:tc>
        <w:tc>
          <w:tcPr>
            <w:tcW w:w="758" w:type="dxa"/>
            <w:tcBorders>
              <w:top w:val="nil"/>
              <w:left w:val="nil"/>
              <w:bottom w:val="single" w:sz="4" w:space="0" w:color="D3D3D3"/>
              <w:right w:val="single" w:sz="4" w:space="0" w:color="D3D3D3"/>
            </w:tcBorders>
            <w:shd w:val="clear" w:color="auto" w:fill="auto"/>
            <w:vAlign w:val="center"/>
            <w:hideMark/>
          </w:tcPr>
          <w:p w14:paraId="01F3D9C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13 </w:t>
            </w:r>
          </w:p>
        </w:tc>
        <w:tc>
          <w:tcPr>
            <w:tcW w:w="539" w:type="dxa"/>
            <w:tcBorders>
              <w:top w:val="nil"/>
              <w:left w:val="nil"/>
              <w:bottom w:val="single" w:sz="4" w:space="0" w:color="D3D3D3"/>
              <w:right w:val="single" w:sz="4" w:space="0" w:color="D3D3D3"/>
            </w:tcBorders>
            <w:shd w:val="clear" w:color="auto" w:fill="auto"/>
            <w:vAlign w:val="center"/>
            <w:hideMark/>
          </w:tcPr>
          <w:p w14:paraId="02F56B7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26 </w:t>
            </w:r>
          </w:p>
        </w:tc>
        <w:tc>
          <w:tcPr>
            <w:tcW w:w="567" w:type="dxa"/>
            <w:tcBorders>
              <w:top w:val="nil"/>
              <w:left w:val="nil"/>
              <w:bottom w:val="single" w:sz="4" w:space="0" w:color="D3D3D3"/>
              <w:right w:val="single" w:sz="4" w:space="0" w:color="D3D3D3"/>
            </w:tcBorders>
            <w:shd w:val="clear" w:color="auto" w:fill="auto"/>
            <w:vAlign w:val="center"/>
            <w:hideMark/>
          </w:tcPr>
          <w:p w14:paraId="1C27E64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22 </w:t>
            </w:r>
          </w:p>
        </w:tc>
        <w:tc>
          <w:tcPr>
            <w:tcW w:w="0" w:type="auto"/>
            <w:tcBorders>
              <w:top w:val="nil"/>
              <w:left w:val="nil"/>
              <w:bottom w:val="single" w:sz="4" w:space="0" w:color="D3D3D3"/>
              <w:right w:val="single" w:sz="4" w:space="0" w:color="D3D3D3"/>
            </w:tcBorders>
            <w:shd w:val="clear" w:color="auto" w:fill="auto"/>
            <w:vAlign w:val="center"/>
            <w:hideMark/>
          </w:tcPr>
          <w:p w14:paraId="41BB32C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24 </w:t>
            </w:r>
          </w:p>
        </w:tc>
        <w:tc>
          <w:tcPr>
            <w:tcW w:w="0" w:type="auto"/>
            <w:tcBorders>
              <w:top w:val="nil"/>
              <w:left w:val="nil"/>
              <w:bottom w:val="single" w:sz="4" w:space="0" w:color="D3D3D3"/>
              <w:right w:val="single" w:sz="4" w:space="0" w:color="D3D3D3"/>
            </w:tcBorders>
            <w:shd w:val="clear" w:color="auto" w:fill="auto"/>
            <w:vAlign w:val="center"/>
            <w:hideMark/>
          </w:tcPr>
          <w:p w14:paraId="45978C1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26 </w:t>
            </w:r>
          </w:p>
        </w:tc>
        <w:tc>
          <w:tcPr>
            <w:tcW w:w="0" w:type="auto"/>
            <w:tcBorders>
              <w:top w:val="nil"/>
              <w:left w:val="nil"/>
              <w:bottom w:val="single" w:sz="4" w:space="0" w:color="D3D3D3"/>
              <w:right w:val="single" w:sz="4" w:space="0" w:color="D3D3D3"/>
            </w:tcBorders>
            <w:shd w:val="clear" w:color="auto" w:fill="auto"/>
            <w:vAlign w:val="center"/>
            <w:hideMark/>
          </w:tcPr>
          <w:p w14:paraId="61E6A7C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23 </w:t>
            </w:r>
          </w:p>
        </w:tc>
        <w:tc>
          <w:tcPr>
            <w:tcW w:w="0" w:type="auto"/>
            <w:tcBorders>
              <w:top w:val="nil"/>
              <w:left w:val="nil"/>
              <w:bottom w:val="single" w:sz="4" w:space="0" w:color="D3D3D3"/>
              <w:right w:val="single" w:sz="4" w:space="0" w:color="D3D3D3"/>
            </w:tcBorders>
            <w:shd w:val="clear" w:color="auto" w:fill="auto"/>
            <w:vAlign w:val="center"/>
            <w:hideMark/>
          </w:tcPr>
          <w:p w14:paraId="68C01B9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36 </w:t>
            </w:r>
          </w:p>
        </w:tc>
        <w:tc>
          <w:tcPr>
            <w:tcW w:w="0" w:type="auto"/>
            <w:tcBorders>
              <w:top w:val="nil"/>
              <w:left w:val="nil"/>
              <w:bottom w:val="single" w:sz="4" w:space="0" w:color="D3D3D3"/>
              <w:right w:val="single" w:sz="4" w:space="0" w:color="D3D3D3"/>
            </w:tcBorders>
            <w:shd w:val="clear" w:color="auto" w:fill="auto"/>
            <w:vAlign w:val="center"/>
            <w:hideMark/>
          </w:tcPr>
          <w:p w14:paraId="2CEF71E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24 </w:t>
            </w:r>
          </w:p>
        </w:tc>
        <w:tc>
          <w:tcPr>
            <w:tcW w:w="0" w:type="auto"/>
            <w:tcBorders>
              <w:top w:val="nil"/>
              <w:left w:val="nil"/>
              <w:bottom w:val="single" w:sz="4" w:space="0" w:color="D3D3D3"/>
              <w:right w:val="single" w:sz="4" w:space="0" w:color="D3D3D3"/>
            </w:tcBorders>
            <w:shd w:val="clear" w:color="auto" w:fill="auto"/>
            <w:vAlign w:val="center"/>
            <w:hideMark/>
          </w:tcPr>
          <w:p w14:paraId="78F29DE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0E9FF2E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2936F91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194 </w:t>
            </w:r>
          </w:p>
        </w:tc>
      </w:tr>
      <w:tr w:rsidR="00D25704" w:rsidRPr="002528F9" w14:paraId="63974F7E"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350D1356"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St Charles</w:t>
            </w:r>
          </w:p>
        </w:tc>
        <w:tc>
          <w:tcPr>
            <w:tcW w:w="1047" w:type="dxa"/>
            <w:tcBorders>
              <w:top w:val="nil"/>
              <w:left w:val="nil"/>
              <w:bottom w:val="single" w:sz="4" w:space="0" w:color="D3D3D3"/>
              <w:right w:val="single" w:sz="4" w:space="0" w:color="D3D3D3"/>
            </w:tcBorders>
            <w:shd w:val="clear" w:color="000000" w:fill="708090"/>
            <w:hideMark/>
          </w:tcPr>
          <w:p w14:paraId="51AB8DFA" w14:textId="5DF96E99" w:rsidR="002528F9" w:rsidRPr="002528F9" w:rsidRDefault="00AD0D88" w:rsidP="002528F9">
            <w:pPr>
              <w:spacing w:after="0" w:line="240" w:lineRule="auto"/>
              <w:rPr>
                <w:rFonts w:ascii="Lato" w:eastAsia="Times New Roman" w:hAnsi="Lato" w:cs="Tahoma"/>
                <w:color w:val="FFFFFF"/>
                <w:sz w:val="18"/>
                <w:szCs w:val="18"/>
                <w:lang w:eastAsia="en-CA"/>
              </w:rPr>
            </w:pPr>
            <w:r>
              <w:rPr>
                <w:rFonts w:ascii="Lato" w:eastAsia="Times New Roman" w:hAnsi="Lato" w:cs="Tahoma"/>
                <w:color w:val="FFFFFF"/>
                <w:sz w:val="18"/>
                <w:szCs w:val="18"/>
                <w:lang w:eastAsia="en-CA"/>
              </w:rPr>
              <w:t>French Immersion</w:t>
            </w:r>
          </w:p>
        </w:tc>
        <w:tc>
          <w:tcPr>
            <w:tcW w:w="758" w:type="dxa"/>
            <w:tcBorders>
              <w:top w:val="nil"/>
              <w:left w:val="nil"/>
              <w:bottom w:val="nil"/>
              <w:right w:val="single" w:sz="4" w:space="0" w:color="D3D3D3"/>
            </w:tcBorders>
            <w:shd w:val="clear" w:color="auto" w:fill="auto"/>
            <w:vAlign w:val="center"/>
            <w:hideMark/>
          </w:tcPr>
          <w:p w14:paraId="3D72917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20 </w:t>
            </w:r>
          </w:p>
        </w:tc>
        <w:tc>
          <w:tcPr>
            <w:tcW w:w="539" w:type="dxa"/>
            <w:tcBorders>
              <w:top w:val="nil"/>
              <w:left w:val="nil"/>
              <w:bottom w:val="single" w:sz="4" w:space="0" w:color="D3D3D3"/>
              <w:right w:val="single" w:sz="4" w:space="0" w:color="D3D3D3"/>
            </w:tcBorders>
            <w:shd w:val="clear" w:color="auto" w:fill="auto"/>
            <w:vAlign w:val="center"/>
            <w:hideMark/>
          </w:tcPr>
          <w:p w14:paraId="6F42DC9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20 </w:t>
            </w:r>
          </w:p>
        </w:tc>
        <w:tc>
          <w:tcPr>
            <w:tcW w:w="567" w:type="dxa"/>
            <w:tcBorders>
              <w:top w:val="nil"/>
              <w:left w:val="nil"/>
              <w:bottom w:val="single" w:sz="4" w:space="0" w:color="D3D3D3"/>
              <w:right w:val="single" w:sz="4" w:space="0" w:color="D3D3D3"/>
            </w:tcBorders>
            <w:shd w:val="clear" w:color="auto" w:fill="auto"/>
            <w:vAlign w:val="center"/>
            <w:hideMark/>
          </w:tcPr>
          <w:p w14:paraId="73166C3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35 </w:t>
            </w:r>
          </w:p>
        </w:tc>
        <w:tc>
          <w:tcPr>
            <w:tcW w:w="0" w:type="auto"/>
            <w:tcBorders>
              <w:top w:val="nil"/>
              <w:left w:val="nil"/>
              <w:bottom w:val="single" w:sz="4" w:space="0" w:color="D3D3D3"/>
              <w:right w:val="single" w:sz="4" w:space="0" w:color="D3D3D3"/>
            </w:tcBorders>
            <w:shd w:val="clear" w:color="auto" w:fill="auto"/>
            <w:vAlign w:val="center"/>
            <w:hideMark/>
          </w:tcPr>
          <w:p w14:paraId="3E41891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26 </w:t>
            </w:r>
          </w:p>
        </w:tc>
        <w:tc>
          <w:tcPr>
            <w:tcW w:w="0" w:type="auto"/>
            <w:tcBorders>
              <w:top w:val="nil"/>
              <w:left w:val="nil"/>
              <w:bottom w:val="single" w:sz="4" w:space="0" w:color="D3D3D3"/>
              <w:right w:val="single" w:sz="4" w:space="0" w:color="D3D3D3"/>
            </w:tcBorders>
            <w:shd w:val="clear" w:color="auto" w:fill="auto"/>
            <w:vAlign w:val="center"/>
            <w:hideMark/>
          </w:tcPr>
          <w:p w14:paraId="73340EF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31 </w:t>
            </w:r>
          </w:p>
        </w:tc>
        <w:tc>
          <w:tcPr>
            <w:tcW w:w="0" w:type="auto"/>
            <w:tcBorders>
              <w:top w:val="nil"/>
              <w:left w:val="nil"/>
              <w:bottom w:val="single" w:sz="4" w:space="0" w:color="D3D3D3"/>
              <w:right w:val="single" w:sz="4" w:space="0" w:color="D3D3D3"/>
            </w:tcBorders>
            <w:shd w:val="clear" w:color="auto" w:fill="auto"/>
            <w:vAlign w:val="center"/>
            <w:hideMark/>
          </w:tcPr>
          <w:p w14:paraId="2F2FFA7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26 </w:t>
            </w:r>
          </w:p>
        </w:tc>
        <w:tc>
          <w:tcPr>
            <w:tcW w:w="0" w:type="auto"/>
            <w:tcBorders>
              <w:top w:val="nil"/>
              <w:left w:val="nil"/>
              <w:bottom w:val="single" w:sz="4" w:space="0" w:color="D3D3D3"/>
              <w:right w:val="single" w:sz="4" w:space="0" w:color="D3D3D3"/>
            </w:tcBorders>
            <w:shd w:val="clear" w:color="auto" w:fill="auto"/>
            <w:vAlign w:val="center"/>
            <w:hideMark/>
          </w:tcPr>
          <w:p w14:paraId="5EA993E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23 </w:t>
            </w:r>
          </w:p>
        </w:tc>
        <w:tc>
          <w:tcPr>
            <w:tcW w:w="0" w:type="auto"/>
            <w:tcBorders>
              <w:top w:val="nil"/>
              <w:left w:val="nil"/>
              <w:bottom w:val="single" w:sz="4" w:space="0" w:color="D3D3D3"/>
              <w:right w:val="single" w:sz="4" w:space="0" w:color="D3D3D3"/>
            </w:tcBorders>
            <w:shd w:val="clear" w:color="auto" w:fill="auto"/>
            <w:vAlign w:val="center"/>
            <w:hideMark/>
          </w:tcPr>
          <w:p w14:paraId="2A9C06D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17 </w:t>
            </w:r>
          </w:p>
        </w:tc>
        <w:tc>
          <w:tcPr>
            <w:tcW w:w="0" w:type="auto"/>
            <w:tcBorders>
              <w:top w:val="nil"/>
              <w:left w:val="nil"/>
              <w:bottom w:val="single" w:sz="4" w:space="0" w:color="D3D3D3"/>
              <w:right w:val="single" w:sz="4" w:space="0" w:color="D3D3D3"/>
            </w:tcBorders>
            <w:shd w:val="clear" w:color="auto" w:fill="auto"/>
            <w:vAlign w:val="center"/>
            <w:hideMark/>
          </w:tcPr>
          <w:p w14:paraId="3EBF64F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4F90F8B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07A1C1D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198 </w:t>
            </w:r>
          </w:p>
        </w:tc>
      </w:tr>
      <w:tr w:rsidR="00D25704" w:rsidRPr="002528F9" w14:paraId="0C7C597B"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3ED1798D"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0530FBD4"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single" w:sz="4" w:space="0" w:color="auto"/>
              <w:left w:val="nil"/>
              <w:bottom w:val="single" w:sz="4" w:space="0" w:color="auto"/>
              <w:right w:val="single" w:sz="4" w:space="0" w:color="D3D3D3"/>
            </w:tcBorders>
            <w:shd w:val="clear" w:color="auto" w:fill="auto"/>
            <w:vAlign w:val="center"/>
            <w:hideMark/>
          </w:tcPr>
          <w:p w14:paraId="4339B32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33 </w:t>
            </w:r>
          </w:p>
        </w:tc>
        <w:tc>
          <w:tcPr>
            <w:tcW w:w="539" w:type="dxa"/>
            <w:tcBorders>
              <w:top w:val="single" w:sz="4" w:space="0" w:color="auto"/>
              <w:left w:val="nil"/>
              <w:bottom w:val="single" w:sz="4" w:space="0" w:color="auto"/>
              <w:right w:val="single" w:sz="4" w:space="0" w:color="D3D3D3"/>
            </w:tcBorders>
            <w:shd w:val="clear" w:color="auto" w:fill="auto"/>
            <w:vAlign w:val="center"/>
            <w:hideMark/>
          </w:tcPr>
          <w:p w14:paraId="179BCA4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46 </w:t>
            </w:r>
          </w:p>
        </w:tc>
        <w:tc>
          <w:tcPr>
            <w:tcW w:w="567" w:type="dxa"/>
            <w:tcBorders>
              <w:top w:val="single" w:sz="4" w:space="0" w:color="auto"/>
              <w:left w:val="nil"/>
              <w:bottom w:val="single" w:sz="4" w:space="0" w:color="auto"/>
              <w:right w:val="single" w:sz="4" w:space="0" w:color="D3D3D3"/>
            </w:tcBorders>
            <w:shd w:val="clear" w:color="auto" w:fill="auto"/>
            <w:vAlign w:val="center"/>
            <w:hideMark/>
          </w:tcPr>
          <w:p w14:paraId="4EAB9BB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57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2882D0B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50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3D8CFC2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57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64B1520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49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01A5DBA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59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52E82CB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41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3009732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759292D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762" w:type="dxa"/>
            <w:tcBorders>
              <w:top w:val="single" w:sz="4" w:space="0" w:color="auto"/>
              <w:left w:val="nil"/>
              <w:bottom w:val="single" w:sz="4" w:space="0" w:color="auto"/>
              <w:right w:val="single" w:sz="4" w:space="0" w:color="D3D3D3"/>
            </w:tcBorders>
            <w:shd w:val="clear" w:color="auto" w:fill="auto"/>
            <w:vAlign w:val="center"/>
            <w:hideMark/>
          </w:tcPr>
          <w:p w14:paraId="1317A0B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392 </w:t>
            </w:r>
          </w:p>
        </w:tc>
      </w:tr>
      <w:tr w:rsidR="00D25704" w:rsidRPr="002528F9" w14:paraId="2EEEE321"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1981797C"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171E4D8F"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nil"/>
              <w:left w:val="nil"/>
              <w:bottom w:val="single" w:sz="4" w:space="0" w:color="D3D3D3"/>
              <w:right w:val="single" w:sz="4" w:space="0" w:color="D3D3D3"/>
            </w:tcBorders>
            <w:shd w:val="clear" w:color="auto" w:fill="auto"/>
            <w:vAlign w:val="center"/>
            <w:hideMark/>
          </w:tcPr>
          <w:p w14:paraId="009233A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single" w:sz="4" w:space="0" w:color="D3D3D3"/>
              <w:left w:val="nil"/>
              <w:bottom w:val="single" w:sz="4" w:space="0" w:color="D3D3D3"/>
              <w:right w:val="single" w:sz="4" w:space="0" w:color="D3D3D3"/>
            </w:tcBorders>
            <w:shd w:val="clear" w:color="auto" w:fill="auto"/>
            <w:vAlign w:val="center"/>
            <w:hideMark/>
          </w:tcPr>
          <w:p w14:paraId="03D54DB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single" w:sz="4" w:space="0" w:color="D3D3D3"/>
              <w:left w:val="nil"/>
              <w:bottom w:val="single" w:sz="4" w:space="0" w:color="D3D3D3"/>
              <w:right w:val="single" w:sz="4" w:space="0" w:color="D3D3D3"/>
            </w:tcBorders>
            <w:shd w:val="clear" w:color="auto" w:fill="auto"/>
            <w:vAlign w:val="center"/>
            <w:hideMark/>
          </w:tcPr>
          <w:p w14:paraId="29122A9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38F9878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57D24E2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3A0E18F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49E0CF4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507C302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474F465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4749739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single" w:sz="4" w:space="0" w:color="D3D3D3"/>
              <w:left w:val="nil"/>
              <w:bottom w:val="single" w:sz="4" w:space="0" w:color="D3D3D3"/>
              <w:right w:val="single" w:sz="4" w:space="0" w:color="D3D3D3"/>
            </w:tcBorders>
            <w:shd w:val="clear" w:color="auto" w:fill="auto"/>
            <w:vAlign w:val="center"/>
            <w:hideMark/>
          </w:tcPr>
          <w:p w14:paraId="67E3F30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r>
      <w:tr w:rsidR="00D25704" w:rsidRPr="002528F9" w14:paraId="2F5A85A3"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tcPr>
          <w:p w14:paraId="03820EA7" w14:textId="77777777" w:rsidR="00745757" w:rsidRPr="002528F9" w:rsidRDefault="00745757" w:rsidP="002528F9">
            <w:pPr>
              <w:spacing w:after="0" w:line="240" w:lineRule="auto"/>
              <w:rPr>
                <w:rFonts w:ascii="Lato" w:eastAsia="Times New Roman" w:hAnsi="Lato" w:cs="Tahoma"/>
                <w:color w:val="FFFFFF"/>
                <w:sz w:val="18"/>
                <w:szCs w:val="18"/>
                <w:lang w:eastAsia="en-CA"/>
              </w:rPr>
            </w:pPr>
          </w:p>
        </w:tc>
        <w:tc>
          <w:tcPr>
            <w:tcW w:w="1047" w:type="dxa"/>
            <w:tcBorders>
              <w:top w:val="nil"/>
              <w:left w:val="nil"/>
              <w:bottom w:val="single" w:sz="4" w:space="0" w:color="D3D3D3"/>
              <w:right w:val="single" w:sz="4" w:space="0" w:color="D3D3D3"/>
            </w:tcBorders>
            <w:shd w:val="clear" w:color="000000" w:fill="708090"/>
          </w:tcPr>
          <w:p w14:paraId="2F78C342" w14:textId="77777777" w:rsidR="00745757" w:rsidRPr="002528F9" w:rsidRDefault="00745757" w:rsidP="002528F9">
            <w:pPr>
              <w:spacing w:after="0" w:line="240" w:lineRule="auto"/>
              <w:rPr>
                <w:rFonts w:ascii="Lato" w:eastAsia="Times New Roman" w:hAnsi="Lato" w:cs="Tahoma"/>
                <w:color w:val="FFFFFF"/>
                <w:sz w:val="18"/>
                <w:szCs w:val="18"/>
                <w:lang w:eastAsia="en-CA"/>
              </w:rPr>
            </w:pPr>
          </w:p>
        </w:tc>
        <w:tc>
          <w:tcPr>
            <w:tcW w:w="758" w:type="dxa"/>
            <w:tcBorders>
              <w:top w:val="nil"/>
              <w:left w:val="nil"/>
              <w:bottom w:val="single" w:sz="4" w:space="0" w:color="D3D3D3"/>
              <w:right w:val="single" w:sz="4" w:space="0" w:color="D3D3D3"/>
            </w:tcBorders>
            <w:shd w:val="clear" w:color="auto" w:fill="auto"/>
            <w:vAlign w:val="center"/>
          </w:tcPr>
          <w:p w14:paraId="46E7835B" w14:textId="77777777" w:rsidR="00745757" w:rsidRPr="002528F9" w:rsidRDefault="00745757" w:rsidP="002528F9">
            <w:pPr>
              <w:spacing w:after="0" w:line="240" w:lineRule="auto"/>
              <w:jc w:val="center"/>
              <w:rPr>
                <w:rFonts w:ascii="Lato" w:eastAsia="Times New Roman" w:hAnsi="Lato" w:cs="Tahoma"/>
                <w:sz w:val="18"/>
                <w:szCs w:val="18"/>
                <w:lang w:eastAsia="en-CA"/>
              </w:rPr>
            </w:pPr>
          </w:p>
        </w:tc>
        <w:tc>
          <w:tcPr>
            <w:tcW w:w="539" w:type="dxa"/>
            <w:tcBorders>
              <w:top w:val="single" w:sz="4" w:space="0" w:color="D3D3D3"/>
              <w:left w:val="nil"/>
              <w:bottom w:val="single" w:sz="4" w:space="0" w:color="D3D3D3"/>
              <w:right w:val="single" w:sz="4" w:space="0" w:color="D3D3D3"/>
            </w:tcBorders>
            <w:shd w:val="clear" w:color="auto" w:fill="auto"/>
            <w:vAlign w:val="center"/>
          </w:tcPr>
          <w:p w14:paraId="3AA725BB" w14:textId="77777777" w:rsidR="00745757" w:rsidRPr="002528F9" w:rsidRDefault="00745757" w:rsidP="002528F9">
            <w:pPr>
              <w:spacing w:after="0" w:line="240" w:lineRule="auto"/>
              <w:jc w:val="center"/>
              <w:rPr>
                <w:rFonts w:ascii="Lato" w:eastAsia="Times New Roman" w:hAnsi="Lato" w:cs="Tahoma"/>
                <w:sz w:val="18"/>
                <w:szCs w:val="18"/>
                <w:lang w:eastAsia="en-CA"/>
              </w:rPr>
            </w:pPr>
          </w:p>
        </w:tc>
        <w:tc>
          <w:tcPr>
            <w:tcW w:w="567" w:type="dxa"/>
            <w:tcBorders>
              <w:top w:val="single" w:sz="4" w:space="0" w:color="D3D3D3"/>
              <w:left w:val="nil"/>
              <w:bottom w:val="single" w:sz="4" w:space="0" w:color="D3D3D3"/>
              <w:right w:val="single" w:sz="4" w:space="0" w:color="D3D3D3"/>
            </w:tcBorders>
            <w:shd w:val="clear" w:color="auto" w:fill="auto"/>
            <w:vAlign w:val="center"/>
          </w:tcPr>
          <w:p w14:paraId="395F5173" w14:textId="77777777" w:rsidR="00745757" w:rsidRPr="002528F9" w:rsidRDefault="00745757" w:rsidP="002528F9">
            <w:pPr>
              <w:spacing w:after="0" w:line="240" w:lineRule="auto"/>
              <w:jc w:val="center"/>
              <w:rPr>
                <w:rFonts w:ascii="Lato" w:eastAsia="Times New Roman" w:hAnsi="Lato" w:cs="Tahoma"/>
                <w:sz w:val="18"/>
                <w:szCs w:val="18"/>
                <w:lang w:eastAsia="en-CA"/>
              </w:rPr>
            </w:pPr>
          </w:p>
        </w:tc>
        <w:tc>
          <w:tcPr>
            <w:tcW w:w="0" w:type="auto"/>
            <w:tcBorders>
              <w:top w:val="single" w:sz="4" w:space="0" w:color="D3D3D3"/>
              <w:left w:val="nil"/>
              <w:bottom w:val="single" w:sz="4" w:space="0" w:color="D3D3D3"/>
              <w:right w:val="single" w:sz="4" w:space="0" w:color="D3D3D3"/>
            </w:tcBorders>
            <w:shd w:val="clear" w:color="auto" w:fill="auto"/>
            <w:vAlign w:val="center"/>
          </w:tcPr>
          <w:p w14:paraId="18C46C71" w14:textId="77777777" w:rsidR="00745757" w:rsidRPr="002528F9" w:rsidRDefault="00745757" w:rsidP="002528F9">
            <w:pPr>
              <w:spacing w:after="0" w:line="240" w:lineRule="auto"/>
              <w:jc w:val="center"/>
              <w:rPr>
                <w:rFonts w:ascii="Lato" w:eastAsia="Times New Roman" w:hAnsi="Lato" w:cs="Tahoma"/>
                <w:sz w:val="18"/>
                <w:szCs w:val="18"/>
                <w:lang w:eastAsia="en-CA"/>
              </w:rPr>
            </w:pPr>
          </w:p>
        </w:tc>
        <w:tc>
          <w:tcPr>
            <w:tcW w:w="0" w:type="auto"/>
            <w:tcBorders>
              <w:top w:val="single" w:sz="4" w:space="0" w:color="D3D3D3"/>
              <w:left w:val="nil"/>
              <w:bottom w:val="single" w:sz="4" w:space="0" w:color="D3D3D3"/>
              <w:right w:val="single" w:sz="4" w:space="0" w:color="D3D3D3"/>
            </w:tcBorders>
            <w:shd w:val="clear" w:color="auto" w:fill="auto"/>
            <w:vAlign w:val="center"/>
          </w:tcPr>
          <w:p w14:paraId="4280DF5A" w14:textId="77777777" w:rsidR="00745757" w:rsidRPr="002528F9" w:rsidRDefault="00745757" w:rsidP="002528F9">
            <w:pPr>
              <w:spacing w:after="0" w:line="240" w:lineRule="auto"/>
              <w:jc w:val="center"/>
              <w:rPr>
                <w:rFonts w:ascii="Lato" w:eastAsia="Times New Roman" w:hAnsi="Lato" w:cs="Tahoma"/>
                <w:sz w:val="18"/>
                <w:szCs w:val="18"/>
                <w:lang w:eastAsia="en-CA"/>
              </w:rPr>
            </w:pPr>
          </w:p>
        </w:tc>
        <w:tc>
          <w:tcPr>
            <w:tcW w:w="0" w:type="auto"/>
            <w:tcBorders>
              <w:top w:val="single" w:sz="4" w:space="0" w:color="D3D3D3"/>
              <w:left w:val="nil"/>
              <w:bottom w:val="single" w:sz="4" w:space="0" w:color="D3D3D3"/>
              <w:right w:val="single" w:sz="4" w:space="0" w:color="D3D3D3"/>
            </w:tcBorders>
            <w:shd w:val="clear" w:color="auto" w:fill="auto"/>
            <w:vAlign w:val="center"/>
          </w:tcPr>
          <w:p w14:paraId="6505514A" w14:textId="77777777" w:rsidR="00745757" w:rsidRPr="002528F9" w:rsidRDefault="00745757" w:rsidP="002528F9">
            <w:pPr>
              <w:spacing w:after="0" w:line="240" w:lineRule="auto"/>
              <w:jc w:val="center"/>
              <w:rPr>
                <w:rFonts w:ascii="Lato" w:eastAsia="Times New Roman" w:hAnsi="Lato" w:cs="Tahoma"/>
                <w:sz w:val="18"/>
                <w:szCs w:val="18"/>
                <w:lang w:eastAsia="en-CA"/>
              </w:rPr>
            </w:pPr>
          </w:p>
        </w:tc>
        <w:tc>
          <w:tcPr>
            <w:tcW w:w="0" w:type="auto"/>
            <w:tcBorders>
              <w:top w:val="single" w:sz="4" w:space="0" w:color="D3D3D3"/>
              <w:left w:val="nil"/>
              <w:bottom w:val="single" w:sz="4" w:space="0" w:color="D3D3D3"/>
              <w:right w:val="single" w:sz="4" w:space="0" w:color="D3D3D3"/>
            </w:tcBorders>
            <w:shd w:val="clear" w:color="auto" w:fill="auto"/>
            <w:vAlign w:val="center"/>
          </w:tcPr>
          <w:p w14:paraId="180C7CAC" w14:textId="77777777" w:rsidR="00745757" w:rsidRPr="002528F9" w:rsidRDefault="00745757" w:rsidP="002528F9">
            <w:pPr>
              <w:spacing w:after="0" w:line="240" w:lineRule="auto"/>
              <w:jc w:val="center"/>
              <w:rPr>
                <w:rFonts w:ascii="Lato" w:eastAsia="Times New Roman" w:hAnsi="Lato" w:cs="Tahoma"/>
                <w:sz w:val="18"/>
                <w:szCs w:val="18"/>
                <w:lang w:eastAsia="en-CA"/>
              </w:rPr>
            </w:pPr>
          </w:p>
        </w:tc>
        <w:tc>
          <w:tcPr>
            <w:tcW w:w="0" w:type="auto"/>
            <w:tcBorders>
              <w:top w:val="single" w:sz="4" w:space="0" w:color="D3D3D3"/>
              <w:left w:val="nil"/>
              <w:bottom w:val="single" w:sz="4" w:space="0" w:color="D3D3D3"/>
              <w:right w:val="single" w:sz="4" w:space="0" w:color="D3D3D3"/>
            </w:tcBorders>
            <w:shd w:val="clear" w:color="auto" w:fill="auto"/>
            <w:vAlign w:val="center"/>
          </w:tcPr>
          <w:p w14:paraId="32177E78" w14:textId="77777777" w:rsidR="00745757" w:rsidRPr="002528F9" w:rsidRDefault="00745757" w:rsidP="002528F9">
            <w:pPr>
              <w:spacing w:after="0" w:line="240" w:lineRule="auto"/>
              <w:jc w:val="center"/>
              <w:rPr>
                <w:rFonts w:ascii="Lato" w:eastAsia="Times New Roman" w:hAnsi="Lato" w:cs="Tahoma"/>
                <w:sz w:val="18"/>
                <w:szCs w:val="18"/>
                <w:lang w:eastAsia="en-CA"/>
              </w:rPr>
            </w:pPr>
          </w:p>
        </w:tc>
        <w:tc>
          <w:tcPr>
            <w:tcW w:w="0" w:type="auto"/>
            <w:tcBorders>
              <w:top w:val="single" w:sz="4" w:space="0" w:color="D3D3D3"/>
              <w:left w:val="nil"/>
              <w:bottom w:val="single" w:sz="4" w:space="0" w:color="D3D3D3"/>
              <w:right w:val="single" w:sz="4" w:space="0" w:color="D3D3D3"/>
            </w:tcBorders>
            <w:shd w:val="clear" w:color="auto" w:fill="auto"/>
            <w:vAlign w:val="center"/>
          </w:tcPr>
          <w:p w14:paraId="4A5B8CF9" w14:textId="77777777" w:rsidR="00745757" w:rsidRPr="002528F9" w:rsidRDefault="00745757" w:rsidP="002528F9">
            <w:pPr>
              <w:spacing w:after="0" w:line="240" w:lineRule="auto"/>
              <w:jc w:val="center"/>
              <w:rPr>
                <w:rFonts w:ascii="Lato" w:eastAsia="Times New Roman" w:hAnsi="Lato" w:cs="Tahoma"/>
                <w:sz w:val="18"/>
                <w:szCs w:val="18"/>
                <w:lang w:eastAsia="en-CA"/>
              </w:rPr>
            </w:pPr>
          </w:p>
        </w:tc>
        <w:tc>
          <w:tcPr>
            <w:tcW w:w="0" w:type="auto"/>
            <w:tcBorders>
              <w:top w:val="single" w:sz="4" w:space="0" w:color="D3D3D3"/>
              <w:left w:val="nil"/>
              <w:bottom w:val="single" w:sz="4" w:space="0" w:color="D3D3D3"/>
              <w:right w:val="single" w:sz="4" w:space="0" w:color="D3D3D3"/>
            </w:tcBorders>
            <w:shd w:val="clear" w:color="auto" w:fill="auto"/>
            <w:vAlign w:val="center"/>
          </w:tcPr>
          <w:p w14:paraId="353BFBF5" w14:textId="77777777" w:rsidR="00745757" w:rsidRPr="002528F9" w:rsidRDefault="00745757" w:rsidP="002528F9">
            <w:pPr>
              <w:spacing w:after="0" w:line="240" w:lineRule="auto"/>
              <w:jc w:val="center"/>
              <w:rPr>
                <w:rFonts w:ascii="Lato" w:eastAsia="Times New Roman" w:hAnsi="Lato" w:cs="Tahoma"/>
                <w:sz w:val="18"/>
                <w:szCs w:val="18"/>
                <w:lang w:eastAsia="en-CA"/>
              </w:rPr>
            </w:pPr>
          </w:p>
        </w:tc>
        <w:tc>
          <w:tcPr>
            <w:tcW w:w="762" w:type="dxa"/>
            <w:tcBorders>
              <w:top w:val="single" w:sz="4" w:space="0" w:color="D3D3D3"/>
              <w:left w:val="nil"/>
              <w:bottom w:val="single" w:sz="4" w:space="0" w:color="D3D3D3"/>
              <w:right w:val="single" w:sz="4" w:space="0" w:color="D3D3D3"/>
            </w:tcBorders>
            <w:shd w:val="clear" w:color="auto" w:fill="auto"/>
            <w:vAlign w:val="center"/>
          </w:tcPr>
          <w:p w14:paraId="593DB521" w14:textId="77777777" w:rsidR="00745757" w:rsidRPr="002528F9" w:rsidRDefault="00745757" w:rsidP="002528F9">
            <w:pPr>
              <w:spacing w:after="0" w:line="240" w:lineRule="auto"/>
              <w:jc w:val="center"/>
              <w:rPr>
                <w:rFonts w:ascii="Lato" w:eastAsia="Times New Roman" w:hAnsi="Lato" w:cs="Tahoma"/>
                <w:sz w:val="18"/>
                <w:szCs w:val="18"/>
                <w:lang w:eastAsia="en-CA"/>
              </w:rPr>
            </w:pPr>
          </w:p>
        </w:tc>
      </w:tr>
      <w:tr w:rsidR="00D25704" w:rsidRPr="002528F9" w14:paraId="18515FC2"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1D8C3A70"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St Charles College (7-8)</w:t>
            </w:r>
          </w:p>
        </w:tc>
        <w:tc>
          <w:tcPr>
            <w:tcW w:w="1047" w:type="dxa"/>
            <w:tcBorders>
              <w:top w:val="nil"/>
              <w:left w:val="nil"/>
              <w:bottom w:val="single" w:sz="4" w:space="0" w:color="D3D3D3"/>
              <w:right w:val="single" w:sz="4" w:space="0" w:color="D3D3D3"/>
            </w:tcBorders>
            <w:shd w:val="clear" w:color="000000" w:fill="708090"/>
            <w:hideMark/>
          </w:tcPr>
          <w:p w14:paraId="27AA9F2C" w14:textId="4448E518"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R</w:t>
            </w:r>
            <w:r w:rsidR="00AD0D88">
              <w:rPr>
                <w:rFonts w:ascii="Lato" w:eastAsia="Times New Roman" w:hAnsi="Lato" w:cs="Tahoma"/>
                <w:color w:val="FFFFFF"/>
                <w:sz w:val="18"/>
                <w:szCs w:val="18"/>
                <w:lang w:eastAsia="en-CA"/>
              </w:rPr>
              <w:t>egular</w:t>
            </w:r>
          </w:p>
        </w:tc>
        <w:tc>
          <w:tcPr>
            <w:tcW w:w="758" w:type="dxa"/>
            <w:tcBorders>
              <w:top w:val="nil"/>
              <w:left w:val="nil"/>
              <w:bottom w:val="single" w:sz="4" w:space="0" w:color="D3D3D3"/>
              <w:right w:val="single" w:sz="4" w:space="0" w:color="D3D3D3"/>
            </w:tcBorders>
            <w:shd w:val="clear" w:color="auto" w:fill="auto"/>
            <w:vAlign w:val="center"/>
            <w:hideMark/>
          </w:tcPr>
          <w:p w14:paraId="57A9359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nil"/>
              <w:left w:val="nil"/>
              <w:bottom w:val="single" w:sz="4" w:space="0" w:color="D3D3D3"/>
              <w:right w:val="single" w:sz="4" w:space="0" w:color="D3D3D3"/>
            </w:tcBorders>
            <w:shd w:val="clear" w:color="auto" w:fill="auto"/>
            <w:vAlign w:val="center"/>
            <w:hideMark/>
          </w:tcPr>
          <w:p w14:paraId="1179130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nil"/>
              <w:left w:val="nil"/>
              <w:bottom w:val="single" w:sz="4" w:space="0" w:color="D3D3D3"/>
              <w:right w:val="single" w:sz="4" w:space="0" w:color="D3D3D3"/>
            </w:tcBorders>
            <w:shd w:val="clear" w:color="auto" w:fill="auto"/>
            <w:vAlign w:val="center"/>
            <w:hideMark/>
          </w:tcPr>
          <w:p w14:paraId="6CDBF07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4CA43DC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53E1BDC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163B2D2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773FF62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6BD4015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3F44ADD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109 </w:t>
            </w:r>
          </w:p>
        </w:tc>
        <w:tc>
          <w:tcPr>
            <w:tcW w:w="0" w:type="auto"/>
            <w:tcBorders>
              <w:top w:val="nil"/>
              <w:left w:val="nil"/>
              <w:bottom w:val="single" w:sz="4" w:space="0" w:color="D3D3D3"/>
              <w:right w:val="single" w:sz="4" w:space="0" w:color="D3D3D3"/>
            </w:tcBorders>
            <w:shd w:val="clear" w:color="auto" w:fill="auto"/>
            <w:vAlign w:val="center"/>
            <w:hideMark/>
          </w:tcPr>
          <w:p w14:paraId="48CDEA5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128 </w:t>
            </w:r>
          </w:p>
        </w:tc>
        <w:tc>
          <w:tcPr>
            <w:tcW w:w="762" w:type="dxa"/>
            <w:tcBorders>
              <w:top w:val="nil"/>
              <w:left w:val="nil"/>
              <w:bottom w:val="single" w:sz="4" w:space="0" w:color="D3D3D3"/>
              <w:right w:val="single" w:sz="4" w:space="0" w:color="D3D3D3"/>
            </w:tcBorders>
            <w:shd w:val="clear" w:color="auto" w:fill="auto"/>
            <w:vAlign w:val="center"/>
            <w:hideMark/>
          </w:tcPr>
          <w:p w14:paraId="1EA4189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237 </w:t>
            </w:r>
          </w:p>
        </w:tc>
      </w:tr>
      <w:tr w:rsidR="00D25704" w:rsidRPr="002528F9" w14:paraId="1DDFAFB6"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04D360B5"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St Charles College (7-8)</w:t>
            </w:r>
          </w:p>
        </w:tc>
        <w:tc>
          <w:tcPr>
            <w:tcW w:w="1047" w:type="dxa"/>
            <w:tcBorders>
              <w:top w:val="nil"/>
              <w:left w:val="nil"/>
              <w:bottom w:val="single" w:sz="4" w:space="0" w:color="D3D3D3"/>
              <w:right w:val="single" w:sz="4" w:space="0" w:color="D3D3D3"/>
            </w:tcBorders>
            <w:shd w:val="clear" w:color="000000" w:fill="708090"/>
            <w:hideMark/>
          </w:tcPr>
          <w:p w14:paraId="3C31C151" w14:textId="757674D6"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F</w:t>
            </w:r>
            <w:r w:rsidR="00AD0D88">
              <w:rPr>
                <w:rFonts w:ascii="Lato" w:eastAsia="Times New Roman" w:hAnsi="Lato" w:cs="Tahoma"/>
                <w:color w:val="FFFFFF"/>
                <w:sz w:val="18"/>
                <w:szCs w:val="18"/>
                <w:lang w:eastAsia="en-CA"/>
              </w:rPr>
              <w:t>rench Immersion</w:t>
            </w:r>
          </w:p>
        </w:tc>
        <w:tc>
          <w:tcPr>
            <w:tcW w:w="758" w:type="dxa"/>
            <w:tcBorders>
              <w:top w:val="nil"/>
              <w:left w:val="nil"/>
              <w:bottom w:val="single" w:sz="4" w:space="0" w:color="D3D3D3"/>
              <w:right w:val="single" w:sz="4" w:space="0" w:color="D3D3D3"/>
            </w:tcBorders>
            <w:shd w:val="clear" w:color="auto" w:fill="auto"/>
            <w:vAlign w:val="center"/>
            <w:hideMark/>
          </w:tcPr>
          <w:p w14:paraId="5BD217C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nil"/>
              <w:left w:val="nil"/>
              <w:bottom w:val="single" w:sz="4" w:space="0" w:color="D3D3D3"/>
              <w:right w:val="single" w:sz="4" w:space="0" w:color="D3D3D3"/>
            </w:tcBorders>
            <w:shd w:val="clear" w:color="auto" w:fill="auto"/>
            <w:vAlign w:val="center"/>
            <w:hideMark/>
          </w:tcPr>
          <w:p w14:paraId="25E798A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nil"/>
              <w:left w:val="nil"/>
              <w:bottom w:val="single" w:sz="4" w:space="0" w:color="D3D3D3"/>
              <w:right w:val="single" w:sz="4" w:space="0" w:color="D3D3D3"/>
            </w:tcBorders>
            <w:shd w:val="clear" w:color="auto" w:fill="auto"/>
            <w:vAlign w:val="center"/>
            <w:hideMark/>
          </w:tcPr>
          <w:p w14:paraId="40D7B9D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2F02883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0F31590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7331960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505613C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1142068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2D0109D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38 </w:t>
            </w:r>
          </w:p>
        </w:tc>
        <w:tc>
          <w:tcPr>
            <w:tcW w:w="0" w:type="auto"/>
            <w:tcBorders>
              <w:top w:val="nil"/>
              <w:left w:val="nil"/>
              <w:bottom w:val="single" w:sz="4" w:space="0" w:color="D3D3D3"/>
              <w:right w:val="single" w:sz="4" w:space="0" w:color="D3D3D3"/>
            </w:tcBorders>
            <w:shd w:val="clear" w:color="auto" w:fill="auto"/>
            <w:vAlign w:val="center"/>
            <w:hideMark/>
          </w:tcPr>
          <w:p w14:paraId="1BE42C3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34 </w:t>
            </w:r>
          </w:p>
        </w:tc>
        <w:tc>
          <w:tcPr>
            <w:tcW w:w="762" w:type="dxa"/>
            <w:tcBorders>
              <w:top w:val="nil"/>
              <w:left w:val="nil"/>
              <w:bottom w:val="single" w:sz="4" w:space="0" w:color="D3D3D3"/>
              <w:right w:val="single" w:sz="4" w:space="0" w:color="D3D3D3"/>
            </w:tcBorders>
            <w:shd w:val="clear" w:color="auto" w:fill="auto"/>
            <w:vAlign w:val="center"/>
            <w:hideMark/>
          </w:tcPr>
          <w:p w14:paraId="1B80238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72 </w:t>
            </w:r>
          </w:p>
        </w:tc>
      </w:tr>
      <w:tr w:rsidR="00D25704" w:rsidRPr="002528F9" w14:paraId="26B9EE5E"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29649F67"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St Charles College (7-8)</w:t>
            </w:r>
          </w:p>
        </w:tc>
        <w:tc>
          <w:tcPr>
            <w:tcW w:w="1047" w:type="dxa"/>
            <w:tcBorders>
              <w:top w:val="nil"/>
              <w:left w:val="nil"/>
              <w:bottom w:val="single" w:sz="4" w:space="0" w:color="D3D3D3"/>
              <w:right w:val="single" w:sz="4" w:space="0" w:color="D3D3D3"/>
            </w:tcBorders>
            <w:shd w:val="clear" w:color="000000" w:fill="708090"/>
            <w:hideMark/>
          </w:tcPr>
          <w:p w14:paraId="1443F46F" w14:textId="1389C86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w:t>
            </w:r>
            <w:r w:rsidR="005D09E5">
              <w:rPr>
                <w:rFonts w:ascii="Lato" w:eastAsia="Times New Roman" w:hAnsi="Lato" w:cs="Tahoma"/>
                <w:color w:val="FFFFFF"/>
                <w:sz w:val="18"/>
                <w:szCs w:val="18"/>
                <w:lang w:eastAsia="en-CA"/>
              </w:rPr>
              <w:t>pecial Education</w:t>
            </w:r>
          </w:p>
        </w:tc>
        <w:tc>
          <w:tcPr>
            <w:tcW w:w="758" w:type="dxa"/>
            <w:tcBorders>
              <w:top w:val="nil"/>
              <w:left w:val="nil"/>
              <w:bottom w:val="nil"/>
              <w:right w:val="single" w:sz="4" w:space="0" w:color="D3D3D3"/>
            </w:tcBorders>
            <w:shd w:val="clear" w:color="auto" w:fill="auto"/>
            <w:vAlign w:val="center"/>
            <w:hideMark/>
          </w:tcPr>
          <w:p w14:paraId="0E04FAC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nil"/>
              <w:left w:val="nil"/>
              <w:bottom w:val="single" w:sz="4" w:space="0" w:color="D3D3D3"/>
              <w:right w:val="single" w:sz="4" w:space="0" w:color="D3D3D3"/>
            </w:tcBorders>
            <w:shd w:val="clear" w:color="auto" w:fill="auto"/>
            <w:vAlign w:val="center"/>
            <w:hideMark/>
          </w:tcPr>
          <w:p w14:paraId="70155D7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nil"/>
              <w:left w:val="nil"/>
              <w:bottom w:val="single" w:sz="4" w:space="0" w:color="D3D3D3"/>
              <w:right w:val="single" w:sz="4" w:space="0" w:color="D3D3D3"/>
            </w:tcBorders>
            <w:shd w:val="clear" w:color="auto" w:fill="auto"/>
            <w:vAlign w:val="center"/>
            <w:hideMark/>
          </w:tcPr>
          <w:p w14:paraId="7EAF686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2A45576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413669A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5F80DD3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6DB3C99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2548B52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715ADEE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 </w:t>
            </w:r>
          </w:p>
        </w:tc>
        <w:tc>
          <w:tcPr>
            <w:tcW w:w="0" w:type="auto"/>
            <w:tcBorders>
              <w:top w:val="nil"/>
              <w:left w:val="nil"/>
              <w:bottom w:val="single" w:sz="4" w:space="0" w:color="D3D3D3"/>
              <w:right w:val="single" w:sz="4" w:space="0" w:color="D3D3D3"/>
            </w:tcBorders>
            <w:shd w:val="clear" w:color="auto" w:fill="auto"/>
            <w:vAlign w:val="center"/>
            <w:hideMark/>
          </w:tcPr>
          <w:p w14:paraId="46262B2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7 </w:t>
            </w:r>
          </w:p>
        </w:tc>
        <w:tc>
          <w:tcPr>
            <w:tcW w:w="762" w:type="dxa"/>
            <w:tcBorders>
              <w:top w:val="nil"/>
              <w:left w:val="nil"/>
              <w:bottom w:val="single" w:sz="4" w:space="0" w:color="D3D3D3"/>
              <w:right w:val="single" w:sz="4" w:space="0" w:color="D3D3D3"/>
            </w:tcBorders>
            <w:shd w:val="clear" w:color="auto" w:fill="auto"/>
            <w:vAlign w:val="center"/>
            <w:hideMark/>
          </w:tcPr>
          <w:p w14:paraId="4152F62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11 </w:t>
            </w:r>
          </w:p>
        </w:tc>
      </w:tr>
      <w:tr w:rsidR="00D25704" w:rsidRPr="002528F9" w14:paraId="36B79DB0"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45FA4877"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2DBADF8A"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single" w:sz="4" w:space="0" w:color="auto"/>
              <w:left w:val="nil"/>
              <w:bottom w:val="single" w:sz="4" w:space="0" w:color="auto"/>
              <w:right w:val="single" w:sz="4" w:space="0" w:color="D3D3D3"/>
            </w:tcBorders>
            <w:shd w:val="clear" w:color="auto" w:fill="auto"/>
            <w:vAlign w:val="center"/>
            <w:hideMark/>
          </w:tcPr>
          <w:p w14:paraId="751E709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539" w:type="dxa"/>
            <w:tcBorders>
              <w:top w:val="single" w:sz="4" w:space="0" w:color="auto"/>
              <w:left w:val="nil"/>
              <w:bottom w:val="single" w:sz="4" w:space="0" w:color="auto"/>
              <w:right w:val="single" w:sz="4" w:space="0" w:color="D3D3D3"/>
            </w:tcBorders>
            <w:shd w:val="clear" w:color="auto" w:fill="auto"/>
            <w:vAlign w:val="center"/>
            <w:hideMark/>
          </w:tcPr>
          <w:p w14:paraId="2BD271A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567" w:type="dxa"/>
            <w:tcBorders>
              <w:top w:val="single" w:sz="4" w:space="0" w:color="auto"/>
              <w:left w:val="nil"/>
              <w:bottom w:val="single" w:sz="4" w:space="0" w:color="auto"/>
              <w:right w:val="single" w:sz="4" w:space="0" w:color="D3D3D3"/>
            </w:tcBorders>
            <w:shd w:val="clear" w:color="auto" w:fill="auto"/>
            <w:vAlign w:val="center"/>
            <w:hideMark/>
          </w:tcPr>
          <w:p w14:paraId="435EE60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2AAAF2D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7B32A4E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60EC1AD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5CCF62E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1B132BB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4980CA7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151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6CE53AC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169 </w:t>
            </w:r>
          </w:p>
        </w:tc>
        <w:tc>
          <w:tcPr>
            <w:tcW w:w="762" w:type="dxa"/>
            <w:tcBorders>
              <w:top w:val="single" w:sz="4" w:space="0" w:color="auto"/>
              <w:left w:val="nil"/>
              <w:bottom w:val="single" w:sz="4" w:space="0" w:color="auto"/>
              <w:right w:val="single" w:sz="4" w:space="0" w:color="D3D3D3"/>
            </w:tcBorders>
            <w:shd w:val="clear" w:color="auto" w:fill="auto"/>
            <w:vAlign w:val="center"/>
            <w:hideMark/>
          </w:tcPr>
          <w:p w14:paraId="310C0F6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320 </w:t>
            </w:r>
          </w:p>
        </w:tc>
      </w:tr>
      <w:tr w:rsidR="00D25704" w:rsidRPr="002528F9" w14:paraId="64DB4839"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3D29366A"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7119534D"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nil"/>
              <w:left w:val="nil"/>
              <w:bottom w:val="nil"/>
              <w:right w:val="single" w:sz="4" w:space="0" w:color="D3D3D3"/>
            </w:tcBorders>
            <w:shd w:val="clear" w:color="auto" w:fill="auto"/>
            <w:vAlign w:val="center"/>
            <w:hideMark/>
          </w:tcPr>
          <w:p w14:paraId="739DA62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single" w:sz="4" w:space="0" w:color="D3D3D3"/>
              <w:left w:val="nil"/>
              <w:bottom w:val="nil"/>
              <w:right w:val="single" w:sz="4" w:space="0" w:color="D3D3D3"/>
            </w:tcBorders>
            <w:shd w:val="clear" w:color="auto" w:fill="auto"/>
            <w:vAlign w:val="center"/>
            <w:hideMark/>
          </w:tcPr>
          <w:p w14:paraId="01FC500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single" w:sz="4" w:space="0" w:color="D3D3D3"/>
              <w:left w:val="nil"/>
              <w:bottom w:val="nil"/>
              <w:right w:val="single" w:sz="4" w:space="0" w:color="D3D3D3"/>
            </w:tcBorders>
            <w:shd w:val="clear" w:color="auto" w:fill="auto"/>
            <w:vAlign w:val="center"/>
            <w:hideMark/>
          </w:tcPr>
          <w:p w14:paraId="4797145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nil"/>
              <w:right w:val="single" w:sz="4" w:space="0" w:color="D3D3D3"/>
            </w:tcBorders>
            <w:shd w:val="clear" w:color="auto" w:fill="auto"/>
            <w:vAlign w:val="center"/>
            <w:hideMark/>
          </w:tcPr>
          <w:p w14:paraId="09F4AB8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nil"/>
              <w:right w:val="single" w:sz="4" w:space="0" w:color="D3D3D3"/>
            </w:tcBorders>
            <w:shd w:val="clear" w:color="auto" w:fill="auto"/>
            <w:vAlign w:val="center"/>
            <w:hideMark/>
          </w:tcPr>
          <w:p w14:paraId="0A65E51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nil"/>
              <w:right w:val="single" w:sz="4" w:space="0" w:color="D3D3D3"/>
            </w:tcBorders>
            <w:shd w:val="clear" w:color="auto" w:fill="auto"/>
            <w:vAlign w:val="center"/>
            <w:hideMark/>
          </w:tcPr>
          <w:p w14:paraId="021264E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nil"/>
              <w:right w:val="single" w:sz="4" w:space="0" w:color="D3D3D3"/>
            </w:tcBorders>
            <w:shd w:val="clear" w:color="auto" w:fill="auto"/>
            <w:vAlign w:val="center"/>
            <w:hideMark/>
          </w:tcPr>
          <w:p w14:paraId="16B662B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nil"/>
              <w:right w:val="single" w:sz="4" w:space="0" w:color="D3D3D3"/>
            </w:tcBorders>
            <w:shd w:val="clear" w:color="auto" w:fill="auto"/>
            <w:vAlign w:val="center"/>
            <w:hideMark/>
          </w:tcPr>
          <w:p w14:paraId="6DF6BE8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nil"/>
              <w:right w:val="single" w:sz="4" w:space="0" w:color="D3D3D3"/>
            </w:tcBorders>
            <w:shd w:val="clear" w:color="auto" w:fill="auto"/>
            <w:vAlign w:val="center"/>
            <w:hideMark/>
          </w:tcPr>
          <w:p w14:paraId="2DF952E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nil"/>
              <w:right w:val="single" w:sz="4" w:space="0" w:color="D3D3D3"/>
            </w:tcBorders>
            <w:shd w:val="clear" w:color="auto" w:fill="auto"/>
            <w:vAlign w:val="center"/>
            <w:hideMark/>
          </w:tcPr>
          <w:p w14:paraId="50ED875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single" w:sz="4" w:space="0" w:color="D3D3D3"/>
              <w:left w:val="nil"/>
              <w:bottom w:val="nil"/>
              <w:right w:val="single" w:sz="4" w:space="0" w:color="D3D3D3"/>
            </w:tcBorders>
            <w:shd w:val="clear" w:color="auto" w:fill="auto"/>
            <w:vAlign w:val="center"/>
            <w:hideMark/>
          </w:tcPr>
          <w:p w14:paraId="436DC2E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r>
      <w:tr w:rsidR="00D25704" w:rsidRPr="002528F9" w14:paraId="44D9AF84"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4B6E9BE8"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St David</w:t>
            </w:r>
          </w:p>
        </w:tc>
        <w:tc>
          <w:tcPr>
            <w:tcW w:w="1047" w:type="dxa"/>
            <w:tcBorders>
              <w:top w:val="nil"/>
              <w:left w:val="nil"/>
              <w:bottom w:val="single" w:sz="4" w:space="0" w:color="D3D3D3"/>
              <w:right w:val="single" w:sz="4" w:space="0" w:color="D3D3D3"/>
            </w:tcBorders>
            <w:shd w:val="clear" w:color="000000" w:fill="708090"/>
            <w:hideMark/>
          </w:tcPr>
          <w:p w14:paraId="6D5FEE04" w14:textId="69CF649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R</w:t>
            </w:r>
            <w:r w:rsidR="005D09E5">
              <w:rPr>
                <w:rFonts w:ascii="Lato" w:eastAsia="Times New Roman" w:hAnsi="Lato" w:cs="Tahoma"/>
                <w:color w:val="FFFFFF"/>
                <w:sz w:val="18"/>
                <w:szCs w:val="18"/>
                <w:lang w:eastAsia="en-CA"/>
              </w:rPr>
              <w:t>egular</w:t>
            </w:r>
          </w:p>
        </w:tc>
        <w:tc>
          <w:tcPr>
            <w:tcW w:w="758" w:type="dxa"/>
            <w:tcBorders>
              <w:top w:val="single" w:sz="4" w:space="0" w:color="auto"/>
              <w:left w:val="nil"/>
              <w:bottom w:val="single" w:sz="4" w:space="0" w:color="auto"/>
              <w:right w:val="single" w:sz="4" w:space="0" w:color="D3D3D3"/>
            </w:tcBorders>
            <w:shd w:val="clear" w:color="auto" w:fill="auto"/>
            <w:vAlign w:val="center"/>
            <w:hideMark/>
          </w:tcPr>
          <w:p w14:paraId="143B0E6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31 </w:t>
            </w:r>
          </w:p>
        </w:tc>
        <w:tc>
          <w:tcPr>
            <w:tcW w:w="539" w:type="dxa"/>
            <w:tcBorders>
              <w:top w:val="single" w:sz="4" w:space="0" w:color="auto"/>
              <w:left w:val="nil"/>
              <w:bottom w:val="single" w:sz="4" w:space="0" w:color="auto"/>
              <w:right w:val="single" w:sz="4" w:space="0" w:color="D3D3D3"/>
            </w:tcBorders>
            <w:shd w:val="clear" w:color="auto" w:fill="auto"/>
            <w:vAlign w:val="center"/>
            <w:hideMark/>
          </w:tcPr>
          <w:p w14:paraId="38A3940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31 </w:t>
            </w:r>
          </w:p>
        </w:tc>
        <w:tc>
          <w:tcPr>
            <w:tcW w:w="567" w:type="dxa"/>
            <w:tcBorders>
              <w:top w:val="single" w:sz="4" w:space="0" w:color="auto"/>
              <w:left w:val="nil"/>
              <w:bottom w:val="single" w:sz="4" w:space="0" w:color="auto"/>
              <w:right w:val="single" w:sz="4" w:space="0" w:color="D3D3D3"/>
            </w:tcBorders>
            <w:shd w:val="clear" w:color="auto" w:fill="auto"/>
            <w:vAlign w:val="center"/>
            <w:hideMark/>
          </w:tcPr>
          <w:p w14:paraId="7673976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4B834A3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34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06C3021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33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0232F0B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44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774A3CB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47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7608A30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41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446262D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0D758C6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single" w:sz="4" w:space="0" w:color="auto"/>
              <w:left w:val="nil"/>
              <w:bottom w:val="single" w:sz="4" w:space="0" w:color="auto"/>
              <w:right w:val="single" w:sz="4" w:space="0" w:color="D3D3D3"/>
            </w:tcBorders>
            <w:shd w:val="clear" w:color="auto" w:fill="auto"/>
            <w:vAlign w:val="center"/>
            <w:hideMark/>
          </w:tcPr>
          <w:p w14:paraId="7196E4F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301 </w:t>
            </w:r>
          </w:p>
        </w:tc>
      </w:tr>
      <w:tr w:rsidR="00D25704" w:rsidRPr="002528F9" w14:paraId="7FEF13A6"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6E2F3D2E"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254B12EF"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nil"/>
              <w:left w:val="nil"/>
              <w:bottom w:val="single" w:sz="4" w:space="0" w:color="D3D3D3"/>
              <w:right w:val="single" w:sz="4" w:space="0" w:color="D3D3D3"/>
            </w:tcBorders>
            <w:shd w:val="clear" w:color="auto" w:fill="auto"/>
            <w:vAlign w:val="center"/>
            <w:hideMark/>
          </w:tcPr>
          <w:p w14:paraId="4C22332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nil"/>
              <w:left w:val="nil"/>
              <w:bottom w:val="single" w:sz="4" w:space="0" w:color="D3D3D3"/>
              <w:right w:val="single" w:sz="4" w:space="0" w:color="D3D3D3"/>
            </w:tcBorders>
            <w:shd w:val="clear" w:color="auto" w:fill="auto"/>
            <w:vAlign w:val="center"/>
            <w:hideMark/>
          </w:tcPr>
          <w:p w14:paraId="5711B20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nil"/>
              <w:left w:val="nil"/>
              <w:bottom w:val="single" w:sz="4" w:space="0" w:color="D3D3D3"/>
              <w:right w:val="single" w:sz="4" w:space="0" w:color="D3D3D3"/>
            </w:tcBorders>
            <w:shd w:val="clear" w:color="auto" w:fill="auto"/>
            <w:vAlign w:val="center"/>
            <w:hideMark/>
          </w:tcPr>
          <w:p w14:paraId="5CE7228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2A24CED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6120E01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4542544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1CA749C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58C572E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29D55F6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79B9022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49954E7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r>
      <w:tr w:rsidR="00D25704" w:rsidRPr="002528F9" w14:paraId="64D50BD8"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11D1B5E7"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353C164A"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nil"/>
              <w:left w:val="nil"/>
              <w:bottom w:val="single" w:sz="4" w:space="0" w:color="D3D3D3"/>
              <w:right w:val="single" w:sz="4" w:space="0" w:color="D3D3D3"/>
            </w:tcBorders>
            <w:shd w:val="clear" w:color="auto" w:fill="auto"/>
            <w:vAlign w:val="center"/>
            <w:hideMark/>
          </w:tcPr>
          <w:p w14:paraId="5D2FF7A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nil"/>
              <w:left w:val="nil"/>
              <w:bottom w:val="single" w:sz="4" w:space="0" w:color="D3D3D3"/>
              <w:right w:val="single" w:sz="4" w:space="0" w:color="D3D3D3"/>
            </w:tcBorders>
            <w:shd w:val="clear" w:color="auto" w:fill="auto"/>
            <w:vAlign w:val="center"/>
            <w:hideMark/>
          </w:tcPr>
          <w:p w14:paraId="143C117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nil"/>
              <w:left w:val="nil"/>
              <w:bottom w:val="single" w:sz="4" w:space="0" w:color="D3D3D3"/>
              <w:right w:val="single" w:sz="4" w:space="0" w:color="D3D3D3"/>
            </w:tcBorders>
            <w:shd w:val="clear" w:color="auto" w:fill="auto"/>
            <w:vAlign w:val="center"/>
            <w:hideMark/>
          </w:tcPr>
          <w:p w14:paraId="5F77CA1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1191B55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1DE6BFA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3852EC2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6039FAB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2B533B6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331BD0B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4D22C99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4A9C2F7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r>
      <w:tr w:rsidR="00D25704" w:rsidRPr="002528F9" w14:paraId="024F0A65"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5C3438BB"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St Francis</w:t>
            </w:r>
          </w:p>
        </w:tc>
        <w:tc>
          <w:tcPr>
            <w:tcW w:w="1047" w:type="dxa"/>
            <w:tcBorders>
              <w:top w:val="nil"/>
              <w:left w:val="nil"/>
              <w:bottom w:val="single" w:sz="4" w:space="0" w:color="D3D3D3"/>
              <w:right w:val="single" w:sz="4" w:space="0" w:color="D3D3D3"/>
            </w:tcBorders>
            <w:shd w:val="clear" w:color="000000" w:fill="708090"/>
            <w:hideMark/>
          </w:tcPr>
          <w:p w14:paraId="5A7140EA" w14:textId="1851567F"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R</w:t>
            </w:r>
            <w:r w:rsidR="005D09E5">
              <w:rPr>
                <w:rFonts w:ascii="Lato" w:eastAsia="Times New Roman" w:hAnsi="Lato" w:cs="Tahoma"/>
                <w:color w:val="FFFFFF"/>
                <w:sz w:val="18"/>
                <w:szCs w:val="18"/>
                <w:lang w:eastAsia="en-CA"/>
              </w:rPr>
              <w:t>egular</w:t>
            </w:r>
          </w:p>
        </w:tc>
        <w:tc>
          <w:tcPr>
            <w:tcW w:w="758" w:type="dxa"/>
            <w:tcBorders>
              <w:top w:val="nil"/>
              <w:left w:val="nil"/>
              <w:bottom w:val="single" w:sz="4" w:space="0" w:color="D3D3D3"/>
              <w:right w:val="single" w:sz="4" w:space="0" w:color="D3D3D3"/>
            </w:tcBorders>
            <w:shd w:val="clear" w:color="auto" w:fill="auto"/>
            <w:vAlign w:val="center"/>
            <w:hideMark/>
          </w:tcPr>
          <w:p w14:paraId="45D428D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14 </w:t>
            </w:r>
          </w:p>
        </w:tc>
        <w:tc>
          <w:tcPr>
            <w:tcW w:w="539" w:type="dxa"/>
            <w:tcBorders>
              <w:top w:val="nil"/>
              <w:left w:val="nil"/>
              <w:bottom w:val="single" w:sz="4" w:space="0" w:color="D3D3D3"/>
              <w:right w:val="single" w:sz="4" w:space="0" w:color="D3D3D3"/>
            </w:tcBorders>
            <w:shd w:val="clear" w:color="auto" w:fill="auto"/>
            <w:vAlign w:val="center"/>
            <w:hideMark/>
          </w:tcPr>
          <w:p w14:paraId="772EFBF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17 </w:t>
            </w:r>
          </w:p>
        </w:tc>
        <w:tc>
          <w:tcPr>
            <w:tcW w:w="567" w:type="dxa"/>
            <w:tcBorders>
              <w:top w:val="nil"/>
              <w:left w:val="nil"/>
              <w:bottom w:val="single" w:sz="4" w:space="0" w:color="D3D3D3"/>
              <w:right w:val="single" w:sz="4" w:space="0" w:color="D3D3D3"/>
            </w:tcBorders>
            <w:shd w:val="clear" w:color="auto" w:fill="auto"/>
            <w:vAlign w:val="center"/>
            <w:hideMark/>
          </w:tcPr>
          <w:p w14:paraId="60863B3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18 </w:t>
            </w:r>
          </w:p>
        </w:tc>
        <w:tc>
          <w:tcPr>
            <w:tcW w:w="0" w:type="auto"/>
            <w:tcBorders>
              <w:top w:val="nil"/>
              <w:left w:val="nil"/>
              <w:bottom w:val="single" w:sz="4" w:space="0" w:color="D3D3D3"/>
              <w:right w:val="single" w:sz="4" w:space="0" w:color="D3D3D3"/>
            </w:tcBorders>
            <w:shd w:val="clear" w:color="auto" w:fill="auto"/>
            <w:vAlign w:val="center"/>
            <w:hideMark/>
          </w:tcPr>
          <w:p w14:paraId="189A248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25 </w:t>
            </w:r>
          </w:p>
        </w:tc>
        <w:tc>
          <w:tcPr>
            <w:tcW w:w="0" w:type="auto"/>
            <w:tcBorders>
              <w:top w:val="nil"/>
              <w:left w:val="nil"/>
              <w:bottom w:val="single" w:sz="4" w:space="0" w:color="D3D3D3"/>
              <w:right w:val="single" w:sz="4" w:space="0" w:color="D3D3D3"/>
            </w:tcBorders>
            <w:shd w:val="clear" w:color="auto" w:fill="auto"/>
            <w:vAlign w:val="center"/>
            <w:hideMark/>
          </w:tcPr>
          <w:p w14:paraId="6C77A1A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37 </w:t>
            </w:r>
          </w:p>
        </w:tc>
        <w:tc>
          <w:tcPr>
            <w:tcW w:w="0" w:type="auto"/>
            <w:tcBorders>
              <w:top w:val="nil"/>
              <w:left w:val="nil"/>
              <w:bottom w:val="single" w:sz="4" w:space="0" w:color="D3D3D3"/>
              <w:right w:val="single" w:sz="4" w:space="0" w:color="D3D3D3"/>
            </w:tcBorders>
            <w:shd w:val="clear" w:color="auto" w:fill="auto"/>
            <w:vAlign w:val="center"/>
            <w:hideMark/>
          </w:tcPr>
          <w:p w14:paraId="4480C13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36 </w:t>
            </w:r>
          </w:p>
        </w:tc>
        <w:tc>
          <w:tcPr>
            <w:tcW w:w="0" w:type="auto"/>
            <w:tcBorders>
              <w:top w:val="nil"/>
              <w:left w:val="nil"/>
              <w:bottom w:val="single" w:sz="4" w:space="0" w:color="D3D3D3"/>
              <w:right w:val="single" w:sz="4" w:space="0" w:color="D3D3D3"/>
            </w:tcBorders>
            <w:shd w:val="clear" w:color="auto" w:fill="auto"/>
            <w:vAlign w:val="center"/>
            <w:hideMark/>
          </w:tcPr>
          <w:p w14:paraId="1A80E3C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29 </w:t>
            </w:r>
          </w:p>
        </w:tc>
        <w:tc>
          <w:tcPr>
            <w:tcW w:w="0" w:type="auto"/>
            <w:tcBorders>
              <w:top w:val="nil"/>
              <w:left w:val="nil"/>
              <w:bottom w:val="single" w:sz="4" w:space="0" w:color="D3D3D3"/>
              <w:right w:val="single" w:sz="4" w:space="0" w:color="D3D3D3"/>
            </w:tcBorders>
            <w:shd w:val="clear" w:color="auto" w:fill="auto"/>
            <w:vAlign w:val="center"/>
            <w:hideMark/>
          </w:tcPr>
          <w:p w14:paraId="5DADF9E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16 </w:t>
            </w:r>
          </w:p>
        </w:tc>
        <w:tc>
          <w:tcPr>
            <w:tcW w:w="0" w:type="auto"/>
            <w:tcBorders>
              <w:top w:val="nil"/>
              <w:left w:val="nil"/>
              <w:bottom w:val="single" w:sz="4" w:space="0" w:color="D3D3D3"/>
              <w:right w:val="single" w:sz="4" w:space="0" w:color="D3D3D3"/>
            </w:tcBorders>
            <w:shd w:val="clear" w:color="auto" w:fill="auto"/>
            <w:vAlign w:val="center"/>
            <w:hideMark/>
          </w:tcPr>
          <w:p w14:paraId="7658820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3C82584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6F82A70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192 </w:t>
            </w:r>
          </w:p>
        </w:tc>
      </w:tr>
      <w:tr w:rsidR="00D25704" w:rsidRPr="002528F9" w14:paraId="17A39C90"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2D4E7D90"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St Francis</w:t>
            </w:r>
          </w:p>
        </w:tc>
        <w:tc>
          <w:tcPr>
            <w:tcW w:w="1047" w:type="dxa"/>
            <w:tcBorders>
              <w:top w:val="nil"/>
              <w:left w:val="nil"/>
              <w:bottom w:val="single" w:sz="4" w:space="0" w:color="D3D3D3"/>
              <w:right w:val="single" w:sz="4" w:space="0" w:color="D3D3D3"/>
            </w:tcBorders>
            <w:shd w:val="clear" w:color="000000" w:fill="708090"/>
            <w:hideMark/>
          </w:tcPr>
          <w:p w14:paraId="3733D1FC" w14:textId="052CAF5B"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F</w:t>
            </w:r>
            <w:r w:rsidR="005D09E5">
              <w:rPr>
                <w:rFonts w:ascii="Lato" w:eastAsia="Times New Roman" w:hAnsi="Lato" w:cs="Tahoma"/>
                <w:color w:val="FFFFFF"/>
                <w:sz w:val="18"/>
                <w:szCs w:val="18"/>
                <w:lang w:eastAsia="en-CA"/>
              </w:rPr>
              <w:t>rench Immersion</w:t>
            </w:r>
          </w:p>
        </w:tc>
        <w:tc>
          <w:tcPr>
            <w:tcW w:w="758" w:type="dxa"/>
            <w:tcBorders>
              <w:top w:val="nil"/>
              <w:left w:val="nil"/>
              <w:bottom w:val="single" w:sz="4" w:space="0" w:color="D3D3D3"/>
              <w:right w:val="single" w:sz="4" w:space="0" w:color="D3D3D3"/>
            </w:tcBorders>
            <w:shd w:val="clear" w:color="auto" w:fill="auto"/>
            <w:vAlign w:val="center"/>
            <w:hideMark/>
          </w:tcPr>
          <w:p w14:paraId="5A0B84C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14 </w:t>
            </w:r>
          </w:p>
        </w:tc>
        <w:tc>
          <w:tcPr>
            <w:tcW w:w="539" w:type="dxa"/>
            <w:tcBorders>
              <w:top w:val="nil"/>
              <w:left w:val="nil"/>
              <w:bottom w:val="single" w:sz="4" w:space="0" w:color="D3D3D3"/>
              <w:right w:val="single" w:sz="4" w:space="0" w:color="D3D3D3"/>
            </w:tcBorders>
            <w:shd w:val="clear" w:color="auto" w:fill="auto"/>
            <w:vAlign w:val="center"/>
            <w:hideMark/>
          </w:tcPr>
          <w:p w14:paraId="06F1335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19 </w:t>
            </w:r>
          </w:p>
        </w:tc>
        <w:tc>
          <w:tcPr>
            <w:tcW w:w="567" w:type="dxa"/>
            <w:tcBorders>
              <w:top w:val="nil"/>
              <w:left w:val="nil"/>
              <w:bottom w:val="single" w:sz="4" w:space="0" w:color="D3D3D3"/>
              <w:right w:val="single" w:sz="4" w:space="0" w:color="D3D3D3"/>
            </w:tcBorders>
            <w:shd w:val="clear" w:color="auto" w:fill="auto"/>
            <w:vAlign w:val="center"/>
            <w:hideMark/>
          </w:tcPr>
          <w:p w14:paraId="6E4B45C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29 </w:t>
            </w:r>
          </w:p>
        </w:tc>
        <w:tc>
          <w:tcPr>
            <w:tcW w:w="0" w:type="auto"/>
            <w:tcBorders>
              <w:top w:val="nil"/>
              <w:left w:val="nil"/>
              <w:bottom w:val="single" w:sz="4" w:space="0" w:color="D3D3D3"/>
              <w:right w:val="single" w:sz="4" w:space="0" w:color="D3D3D3"/>
            </w:tcBorders>
            <w:shd w:val="clear" w:color="auto" w:fill="auto"/>
            <w:vAlign w:val="center"/>
            <w:hideMark/>
          </w:tcPr>
          <w:p w14:paraId="58C1C85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16 </w:t>
            </w:r>
          </w:p>
        </w:tc>
        <w:tc>
          <w:tcPr>
            <w:tcW w:w="0" w:type="auto"/>
            <w:tcBorders>
              <w:top w:val="nil"/>
              <w:left w:val="nil"/>
              <w:bottom w:val="single" w:sz="4" w:space="0" w:color="D3D3D3"/>
              <w:right w:val="single" w:sz="4" w:space="0" w:color="D3D3D3"/>
            </w:tcBorders>
            <w:shd w:val="clear" w:color="auto" w:fill="auto"/>
            <w:vAlign w:val="center"/>
            <w:hideMark/>
          </w:tcPr>
          <w:p w14:paraId="1D2F05E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15 </w:t>
            </w:r>
          </w:p>
        </w:tc>
        <w:tc>
          <w:tcPr>
            <w:tcW w:w="0" w:type="auto"/>
            <w:tcBorders>
              <w:top w:val="nil"/>
              <w:left w:val="nil"/>
              <w:bottom w:val="single" w:sz="4" w:space="0" w:color="D3D3D3"/>
              <w:right w:val="single" w:sz="4" w:space="0" w:color="D3D3D3"/>
            </w:tcBorders>
            <w:shd w:val="clear" w:color="auto" w:fill="auto"/>
            <w:vAlign w:val="center"/>
            <w:hideMark/>
          </w:tcPr>
          <w:p w14:paraId="30030C8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15 </w:t>
            </w:r>
          </w:p>
        </w:tc>
        <w:tc>
          <w:tcPr>
            <w:tcW w:w="0" w:type="auto"/>
            <w:tcBorders>
              <w:top w:val="nil"/>
              <w:left w:val="nil"/>
              <w:bottom w:val="single" w:sz="4" w:space="0" w:color="D3D3D3"/>
              <w:right w:val="single" w:sz="4" w:space="0" w:color="D3D3D3"/>
            </w:tcBorders>
            <w:shd w:val="clear" w:color="auto" w:fill="auto"/>
            <w:vAlign w:val="center"/>
            <w:hideMark/>
          </w:tcPr>
          <w:p w14:paraId="00051A3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14 </w:t>
            </w:r>
          </w:p>
        </w:tc>
        <w:tc>
          <w:tcPr>
            <w:tcW w:w="0" w:type="auto"/>
            <w:tcBorders>
              <w:top w:val="nil"/>
              <w:left w:val="nil"/>
              <w:bottom w:val="single" w:sz="4" w:space="0" w:color="D3D3D3"/>
              <w:right w:val="single" w:sz="4" w:space="0" w:color="D3D3D3"/>
            </w:tcBorders>
            <w:shd w:val="clear" w:color="auto" w:fill="auto"/>
            <w:vAlign w:val="center"/>
            <w:hideMark/>
          </w:tcPr>
          <w:p w14:paraId="5ECBBB7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11 </w:t>
            </w:r>
          </w:p>
        </w:tc>
        <w:tc>
          <w:tcPr>
            <w:tcW w:w="0" w:type="auto"/>
            <w:tcBorders>
              <w:top w:val="nil"/>
              <w:left w:val="nil"/>
              <w:bottom w:val="single" w:sz="4" w:space="0" w:color="D3D3D3"/>
              <w:right w:val="single" w:sz="4" w:space="0" w:color="D3D3D3"/>
            </w:tcBorders>
            <w:shd w:val="clear" w:color="auto" w:fill="auto"/>
            <w:vAlign w:val="center"/>
            <w:hideMark/>
          </w:tcPr>
          <w:p w14:paraId="48E4D93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0E6E182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30A07B3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133 </w:t>
            </w:r>
          </w:p>
        </w:tc>
      </w:tr>
      <w:tr w:rsidR="00D25704" w:rsidRPr="002528F9" w14:paraId="225C7431"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7ABA00E6"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St Francis</w:t>
            </w:r>
          </w:p>
        </w:tc>
        <w:tc>
          <w:tcPr>
            <w:tcW w:w="1047" w:type="dxa"/>
            <w:tcBorders>
              <w:top w:val="nil"/>
              <w:left w:val="nil"/>
              <w:bottom w:val="single" w:sz="4" w:space="0" w:color="D3D3D3"/>
              <w:right w:val="single" w:sz="4" w:space="0" w:color="D3D3D3"/>
            </w:tcBorders>
            <w:shd w:val="clear" w:color="000000" w:fill="708090"/>
            <w:hideMark/>
          </w:tcPr>
          <w:p w14:paraId="4CC1676C" w14:textId="02B773C3"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w:t>
            </w:r>
            <w:r w:rsidR="005D09E5">
              <w:rPr>
                <w:rFonts w:ascii="Lato" w:eastAsia="Times New Roman" w:hAnsi="Lato" w:cs="Tahoma"/>
                <w:color w:val="FFFFFF"/>
                <w:sz w:val="18"/>
                <w:szCs w:val="18"/>
                <w:lang w:eastAsia="en-CA"/>
              </w:rPr>
              <w:t>pecial Education</w:t>
            </w:r>
          </w:p>
        </w:tc>
        <w:tc>
          <w:tcPr>
            <w:tcW w:w="758" w:type="dxa"/>
            <w:tcBorders>
              <w:top w:val="nil"/>
              <w:left w:val="nil"/>
              <w:bottom w:val="single" w:sz="4" w:space="0" w:color="D3D3D3"/>
              <w:right w:val="single" w:sz="4" w:space="0" w:color="D3D3D3"/>
            </w:tcBorders>
            <w:shd w:val="clear" w:color="auto" w:fill="auto"/>
            <w:vAlign w:val="center"/>
            <w:hideMark/>
          </w:tcPr>
          <w:p w14:paraId="32A97B6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nil"/>
              <w:left w:val="nil"/>
              <w:bottom w:val="single" w:sz="4" w:space="0" w:color="D3D3D3"/>
              <w:right w:val="single" w:sz="4" w:space="0" w:color="D3D3D3"/>
            </w:tcBorders>
            <w:shd w:val="clear" w:color="auto" w:fill="auto"/>
            <w:vAlign w:val="center"/>
            <w:hideMark/>
          </w:tcPr>
          <w:p w14:paraId="2AF081E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nil"/>
              <w:left w:val="nil"/>
              <w:bottom w:val="single" w:sz="4" w:space="0" w:color="D3D3D3"/>
              <w:right w:val="single" w:sz="4" w:space="0" w:color="D3D3D3"/>
            </w:tcBorders>
            <w:shd w:val="clear" w:color="auto" w:fill="auto"/>
            <w:vAlign w:val="center"/>
            <w:hideMark/>
          </w:tcPr>
          <w:p w14:paraId="67B4401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090B0BD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9 </w:t>
            </w:r>
          </w:p>
        </w:tc>
        <w:tc>
          <w:tcPr>
            <w:tcW w:w="0" w:type="auto"/>
            <w:tcBorders>
              <w:top w:val="nil"/>
              <w:left w:val="nil"/>
              <w:bottom w:val="single" w:sz="4" w:space="0" w:color="D3D3D3"/>
              <w:right w:val="single" w:sz="4" w:space="0" w:color="D3D3D3"/>
            </w:tcBorders>
            <w:shd w:val="clear" w:color="auto" w:fill="auto"/>
            <w:vAlign w:val="center"/>
            <w:hideMark/>
          </w:tcPr>
          <w:p w14:paraId="07D2296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7 </w:t>
            </w:r>
          </w:p>
        </w:tc>
        <w:tc>
          <w:tcPr>
            <w:tcW w:w="0" w:type="auto"/>
            <w:tcBorders>
              <w:top w:val="nil"/>
              <w:left w:val="nil"/>
              <w:bottom w:val="single" w:sz="4" w:space="0" w:color="D3D3D3"/>
              <w:right w:val="single" w:sz="4" w:space="0" w:color="D3D3D3"/>
            </w:tcBorders>
            <w:shd w:val="clear" w:color="auto" w:fill="auto"/>
            <w:vAlign w:val="center"/>
            <w:hideMark/>
          </w:tcPr>
          <w:p w14:paraId="2489FB6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6 </w:t>
            </w:r>
          </w:p>
        </w:tc>
        <w:tc>
          <w:tcPr>
            <w:tcW w:w="0" w:type="auto"/>
            <w:tcBorders>
              <w:top w:val="nil"/>
              <w:left w:val="nil"/>
              <w:bottom w:val="single" w:sz="4" w:space="0" w:color="D3D3D3"/>
              <w:right w:val="single" w:sz="4" w:space="0" w:color="D3D3D3"/>
            </w:tcBorders>
            <w:shd w:val="clear" w:color="auto" w:fill="auto"/>
            <w:vAlign w:val="center"/>
            <w:hideMark/>
          </w:tcPr>
          <w:p w14:paraId="5C7F5D3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12 </w:t>
            </w:r>
          </w:p>
        </w:tc>
        <w:tc>
          <w:tcPr>
            <w:tcW w:w="0" w:type="auto"/>
            <w:tcBorders>
              <w:top w:val="nil"/>
              <w:left w:val="nil"/>
              <w:bottom w:val="single" w:sz="4" w:space="0" w:color="D3D3D3"/>
              <w:right w:val="single" w:sz="4" w:space="0" w:color="D3D3D3"/>
            </w:tcBorders>
            <w:shd w:val="clear" w:color="auto" w:fill="auto"/>
            <w:vAlign w:val="center"/>
            <w:hideMark/>
          </w:tcPr>
          <w:p w14:paraId="1D28C26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7 </w:t>
            </w:r>
          </w:p>
        </w:tc>
        <w:tc>
          <w:tcPr>
            <w:tcW w:w="0" w:type="auto"/>
            <w:tcBorders>
              <w:top w:val="nil"/>
              <w:left w:val="nil"/>
              <w:bottom w:val="single" w:sz="4" w:space="0" w:color="D3D3D3"/>
              <w:right w:val="single" w:sz="4" w:space="0" w:color="D3D3D3"/>
            </w:tcBorders>
            <w:shd w:val="clear" w:color="auto" w:fill="auto"/>
            <w:vAlign w:val="center"/>
            <w:hideMark/>
          </w:tcPr>
          <w:p w14:paraId="3FB7C49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07FC908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7F42023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41 </w:t>
            </w:r>
          </w:p>
        </w:tc>
      </w:tr>
      <w:tr w:rsidR="00D25704" w:rsidRPr="002528F9" w14:paraId="767C676B"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4FE23EDC"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35926D91"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single" w:sz="4" w:space="0" w:color="auto"/>
              <w:left w:val="nil"/>
              <w:bottom w:val="single" w:sz="4" w:space="0" w:color="auto"/>
              <w:right w:val="single" w:sz="4" w:space="0" w:color="D3D3D3"/>
            </w:tcBorders>
            <w:shd w:val="clear" w:color="auto" w:fill="auto"/>
            <w:vAlign w:val="center"/>
            <w:hideMark/>
          </w:tcPr>
          <w:p w14:paraId="4D821FE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28 </w:t>
            </w:r>
          </w:p>
        </w:tc>
        <w:tc>
          <w:tcPr>
            <w:tcW w:w="539" w:type="dxa"/>
            <w:tcBorders>
              <w:top w:val="single" w:sz="4" w:space="0" w:color="auto"/>
              <w:left w:val="nil"/>
              <w:bottom w:val="single" w:sz="4" w:space="0" w:color="auto"/>
              <w:right w:val="single" w:sz="4" w:space="0" w:color="D3D3D3"/>
            </w:tcBorders>
            <w:shd w:val="clear" w:color="auto" w:fill="auto"/>
            <w:vAlign w:val="center"/>
            <w:hideMark/>
          </w:tcPr>
          <w:p w14:paraId="140DCA2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36 </w:t>
            </w:r>
          </w:p>
        </w:tc>
        <w:tc>
          <w:tcPr>
            <w:tcW w:w="567" w:type="dxa"/>
            <w:tcBorders>
              <w:top w:val="single" w:sz="4" w:space="0" w:color="auto"/>
              <w:left w:val="nil"/>
              <w:bottom w:val="single" w:sz="4" w:space="0" w:color="auto"/>
              <w:right w:val="single" w:sz="4" w:space="0" w:color="D3D3D3"/>
            </w:tcBorders>
            <w:shd w:val="clear" w:color="auto" w:fill="auto"/>
            <w:vAlign w:val="center"/>
            <w:hideMark/>
          </w:tcPr>
          <w:p w14:paraId="7011756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47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68D23A4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50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6412767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59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335736F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57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33E4F1C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55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711D55A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34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0D6B13F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5FEA157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762" w:type="dxa"/>
            <w:tcBorders>
              <w:top w:val="single" w:sz="4" w:space="0" w:color="auto"/>
              <w:left w:val="nil"/>
              <w:bottom w:val="single" w:sz="4" w:space="0" w:color="auto"/>
              <w:right w:val="single" w:sz="4" w:space="0" w:color="D3D3D3"/>
            </w:tcBorders>
            <w:shd w:val="clear" w:color="auto" w:fill="auto"/>
            <w:vAlign w:val="center"/>
            <w:hideMark/>
          </w:tcPr>
          <w:p w14:paraId="32475B0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366 </w:t>
            </w:r>
          </w:p>
        </w:tc>
      </w:tr>
      <w:tr w:rsidR="00D25704" w:rsidRPr="002528F9" w14:paraId="3BA678E0"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1D987D71"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7E111E68"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nil"/>
              <w:left w:val="nil"/>
              <w:bottom w:val="single" w:sz="4" w:space="0" w:color="D3D3D3"/>
              <w:right w:val="single" w:sz="4" w:space="0" w:color="D3D3D3"/>
            </w:tcBorders>
            <w:shd w:val="clear" w:color="auto" w:fill="auto"/>
            <w:vAlign w:val="center"/>
            <w:hideMark/>
          </w:tcPr>
          <w:p w14:paraId="71C86B1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nil"/>
              <w:left w:val="nil"/>
              <w:bottom w:val="single" w:sz="4" w:space="0" w:color="D3D3D3"/>
              <w:right w:val="single" w:sz="4" w:space="0" w:color="D3D3D3"/>
            </w:tcBorders>
            <w:shd w:val="clear" w:color="auto" w:fill="auto"/>
            <w:vAlign w:val="center"/>
            <w:hideMark/>
          </w:tcPr>
          <w:p w14:paraId="30C2817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nil"/>
              <w:left w:val="nil"/>
              <w:bottom w:val="single" w:sz="4" w:space="0" w:color="D3D3D3"/>
              <w:right w:val="single" w:sz="4" w:space="0" w:color="D3D3D3"/>
            </w:tcBorders>
            <w:shd w:val="clear" w:color="auto" w:fill="auto"/>
            <w:vAlign w:val="center"/>
            <w:hideMark/>
          </w:tcPr>
          <w:p w14:paraId="30EDA02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2725BD8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6DE5ABB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1EF8FE4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51405E4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2D6DE49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6BE77F6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2B0F404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03219D9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r>
      <w:tr w:rsidR="00D25704" w:rsidRPr="002528F9" w14:paraId="3B0761CA"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7C7801DD"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St James</w:t>
            </w:r>
          </w:p>
        </w:tc>
        <w:tc>
          <w:tcPr>
            <w:tcW w:w="1047" w:type="dxa"/>
            <w:tcBorders>
              <w:top w:val="nil"/>
              <w:left w:val="nil"/>
              <w:bottom w:val="single" w:sz="4" w:space="0" w:color="D3D3D3"/>
              <w:right w:val="single" w:sz="4" w:space="0" w:color="D3D3D3"/>
            </w:tcBorders>
            <w:shd w:val="clear" w:color="000000" w:fill="708090"/>
            <w:hideMark/>
          </w:tcPr>
          <w:p w14:paraId="22EC7FFC" w14:textId="69146435"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R</w:t>
            </w:r>
            <w:r w:rsidR="0043774F">
              <w:rPr>
                <w:rFonts w:ascii="Lato" w:eastAsia="Times New Roman" w:hAnsi="Lato" w:cs="Tahoma"/>
                <w:color w:val="FFFFFF"/>
                <w:sz w:val="18"/>
                <w:szCs w:val="18"/>
                <w:lang w:eastAsia="en-CA"/>
              </w:rPr>
              <w:t>egular</w:t>
            </w:r>
          </w:p>
        </w:tc>
        <w:tc>
          <w:tcPr>
            <w:tcW w:w="758" w:type="dxa"/>
            <w:tcBorders>
              <w:top w:val="nil"/>
              <w:left w:val="nil"/>
              <w:bottom w:val="single" w:sz="4" w:space="0" w:color="D3D3D3"/>
              <w:right w:val="single" w:sz="4" w:space="0" w:color="D3D3D3"/>
            </w:tcBorders>
            <w:shd w:val="clear" w:color="auto" w:fill="auto"/>
            <w:vAlign w:val="center"/>
            <w:hideMark/>
          </w:tcPr>
          <w:p w14:paraId="65F6B46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14 </w:t>
            </w:r>
          </w:p>
        </w:tc>
        <w:tc>
          <w:tcPr>
            <w:tcW w:w="539" w:type="dxa"/>
            <w:tcBorders>
              <w:top w:val="nil"/>
              <w:left w:val="nil"/>
              <w:bottom w:val="single" w:sz="4" w:space="0" w:color="D3D3D3"/>
              <w:right w:val="single" w:sz="4" w:space="0" w:color="D3D3D3"/>
            </w:tcBorders>
            <w:shd w:val="clear" w:color="auto" w:fill="auto"/>
            <w:vAlign w:val="center"/>
            <w:hideMark/>
          </w:tcPr>
          <w:p w14:paraId="44737C5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16 </w:t>
            </w:r>
          </w:p>
        </w:tc>
        <w:tc>
          <w:tcPr>
            <w:tcW w:w="567" w:type="dxa"/>
            <w:tcBorders>
              <w:top w:val="nil"/>
              <w:left w:val="nil"/>
              <w:bottom w:val="single" w:sz="4" w:space="0" w:color="D3D3D3"/>
              <w:right w:val="single" w:sz="4" w:space="0" w:color="D3D3D3"/>
            </w:tcBorders>
            <w:shd w:val="clear" w:color="auto" w:fill="auto"/>
            <w:vAlign w:val="center"/>
            <w:hideMark/>
          </w:tcPr>
          <w:p w14:paraId="1D75831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14 </w:t>
            </w:r>
          </w:p>
        </w:tc>
        <w:tc>
          <w:tcPr>
            <w:tcW w:w="0" w:type="auto"/>
            <w:tcBorders>
              <w:top w:val="nil"/>
              <w:left w:val="nil"/>
              <w:bottom w:val="single" w:sz="4" w:space="0" w:color="D3D3D3"/>
              <w:right w:val="single" w:sz="4" w:space="0" w:color="D3D3D3"/>
            </w:tcBorders>
            <w:shd w:val="clear" w:color="auto" w:fill="auto"/>
            <w:vAlign w:val="center"/>
            <w:hideMark/>
          </w:tcPr>
          <w:p w14:paraId="4033351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17 </w:t>
            </w:r>
          </w:p>
        </w:tc>
        <w:tc>
          <w:tcPr>
            <w:tcW w:w="0" w:type="auto"/>
            <w:tcBorders>
              <w:top w:val="nil"/>
              <w:left w:val="nil"/>
              <w:bottom w:val="single" w:sz="4" w:space="0" w:color="D3D3D3"/>
              <w:right w:val="single" w:sz="4" w:space="0" w:color="D3D3D3"/>
            </w:tcBorders>
            <w:shd w:val="clear" w:color="auto" w:fill="auto"/>
            <w:vAlign w:val="center"/>
            <w:hideMark/>
          </w:tcPr>
          <w:p w14:paraId="0788997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11 </w:t>
            </w:r>
          </w:p>
        </w:tc>
        <w:tc>
          <w:tcPr>
            <w:tcW w:w="0" w:type="auto"/>
            <w:tcBorders>
              <w:top w:val="nil"/>
              <w:left w:val="nil"/>
              <w:bottom w:val="single" w:sz="4" w:space="0" w:color="D3D3D3"/>
              <w:right w:val="single" w:sz="4" w:space="0" w:color="D3D3D3"/>
            </w:tcBorders>
            <w:shd w:val="clear" w:color="auto" w:fill="auto"/>
            <w:vAlign w:val="center"/>
            <w:hideMark/>
          </w:tcPr>
          <w:p w14:paraId="1E74F3A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23 </w:t>
            </w:r>
          </w:p>
        </w:tc>
        <w:tc>
          <w:tcPr>
            <w:tcW w:w="0" w:type="auto"/>
            <w:tcBorders>
              <w:top w:val="nil"/>
              <w:left w:val="nil"/>
              <w:bottom w:val="single" w:sz="4" w:space="0" w:color="D3D3D3"/>
              <w:right w:val="single" w:sz="4" w:space="0" w:color="D3D3D3"/>
            </w:tcBorders>
            <w:shd w:val="clear" w:color="auto" w:fill="auto"/>
            <w:vAlign w:val="center"/>
            <w:hideMark/>
          </w:tcPr>
          <w:p w14:paraId="07B3293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22 </w:t>
            </w:r>
          </w:p>
        </w:tc>
        <w:tc>
          <w:tcPr>
            <w:tcW w:w="0" w:type="auto"/>
            <w:tcBorders>
              <w:top w:val="nil"/>
              <w:left w:val="nil"/>
              <w:bottom w:val="single" w:sz="4" w:space="0" w:color="D3D3D3"/>
              <w:right w:val="single" w:sz="4" w:space="0" w:color="D3D3D3"/>
            </w:tcBorders>
            <w:shd w:val="clear" w:color="auto" w:fill="auto"/>
            <w:vAlign w:val="center"/>
            <w:hideMark/>
          </w:tcPr>
          <w:p w14:paraId="7F406ED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19 </w:t>
            </w:r>
          </w:p>
        </w:tc>
        <w:tc>
          <w:tcPr>
            <w:tcW w:w="0" w:type="auto"/>
            <w:tcBorders>
              <w:top w:val="nil"/>
              <w:left w:val="nil"/>
              <w:bottom w:val="single" w:sz="4" w:space="0" w:color="D3D3D3"/>
              <w:right w:val="single" w:sz="4" w:space="0" w:color="D3D3D3"/>
            </w:tcBorders>
            <w:shd w:val="clear" w:color="auto" w:fill="auto"/>
            <w:vAlign w:val="center"/>
            <w:hideMark/>
          </w:tcPr>
          <w:p w14:paraId="65E8AB0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27 </w:t>
            </w:r>
          </w:p>
        </w:tc>
        <w:tc>
          <w:tcPr>
            <w:tcW w:w="0" w:type="auto"/>
            <w:tcBorders>
              <w:top w:val="nil"/>
              <w:left w:val="nil"/>
              <w:bottom w:val="single" w:sz="4" w:space="0" w:color="D3D3D3"/>
              <w:right w:val="single" w:sz="4" w:space="0" w:color="D3D3D3"/>
            </w:tcBorders>
            <w:shd w:val="clear" w:color="auto" w:fill="auto"/>
            <w:vAlign w:val="center"/>
            <w:hideMark/>
          </w:tcPr>
          <w:p w14:paraId="29F6410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18 </w:t>
            </w:r>
          </w:p>
        </w:tc>
        <w:tc>
          <w:tcPr>
            <w:tcW w:w="762" w:type="dxa"/>
            <w:tcBorders>
              <w:top w:val="nil"/>
              <w:left w:val="nil"/>
              <w:bottom w:val="single" w:sz="4" w:space="0" w:color="D3D3D3"/>
              <w:right w:val="single" w:sz="4" w:space="0" w:color="D3D3D3"/>
            </w:tcBorders>
            <w:shd w:val="clear" w:color="auto" w:fill="auto"/>
            <w:vAlign w:val="center"/>
            <w:hideMark/>
          </w:tcPr>
          <w:p w14:paraId="67296B5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181 </w:t>
            </w:r>
          </w:p>
        </w:tc>
      </w:tr>
      <w:tr w:rsidR="00D25704" w:rsidRPr="002528F9" w14:paraId="337A39B8"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253F47EB"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St James</w:t>
            </w:r>
          </w:p>
        </w:tc>
        <w:tc>
          <w:tcPr>
            <w:tcW w:w="1047" w:type="dxa"/>
            <w:tcBorders>
              <w:top w:val="nil"/>
              <w:left w:val="nil"/>
              <w:bottom w:val="single" w:sz="4" w:space="0" w:color="D3D3D3"/>
              <w:right w:val="single" w:sz="4" w:space="0" w:color="D3D3D3"/>
            </w:tcBorders>
            <w:shd w:val="clear" w:color="000000" w:fill="708090"/>
            <w:hideMark/>
          </w:tcPr>
          <w:p w14:paraId="07B6CB6E" w14:textId="7E8B7675"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F</w:t>
            </w:r>
            <w:r w:rsidR="0043774F">
              <w:rPr>
                <w:rFonts w:ascii="Lato" w:eastAsia="Times New Roman" w:hAnsi="Lato" w:cs="Tahoma"/>
                <w:color w:val="FFFFFF"/>
                <w:sz w:val="18"/>
                <w:szCs w:val="18"/>
                <w:lang w:eastAsia="en-CA"/>
              </w:rPr>
              <w:t>rench Immersion</w:t>
            </w:r>
          </w:p>
        </w:tc>
        <w:tc>
          <w:tcPr>
            <w:tcW w:w="758" w:type="dxa"/>
            <w:tcBorders>
              <w:top w:val="nil"/>
              <w:left w:val="nil"/>
              <w:bottom w:val="single" w:sz="4" w:space="0" w:color="D3D3D3"/>
              <w:right w:val="single" w:sz="4" w:space="0" w:color="D3D3D3"/>
            </w:tcBorders>
            <w:shd w:val="clear" w:color="auto" w:fill="auto"/>
            <w:vAlign w:val="center"/>
            <w:hideMark/>
          </w:tcPr>
          <w:p w14:paraId="0AA6F24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14 </w:t>
            </w:r>
          </w:p>
        </w:tc>
        <w:tc>
          <w:tcPr>
            <w:tcW w:w="539" w:type="dxa"/>
            <w:tcBorders>
              <w:top w:val="nil"/>
              <w:left w:val="nil"/>
              <w:bottom w:val="single" w:sz="4" w:space="0" w:color="D3D3D3"/>
              <w:right w:val="single" w:sz="4" w:space="0" w:color="D3D3D3"/>
            </w:tcBorders>
            <w:shd w:val="clear" w:color="auto" w:fill="auto"/>
            <w:vAlign w:val="center"/>
            <w:hideMark/>
          </w:tcPr>
          <w:p w14:paraId="41A8A9C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15 </w:t>
            </w:r>
          </w:p>
        </w:tc>
        <w:tc>
          <w:tcPr>
            <w:tcW w:w="567" w:type="dxa"/>
            <w:tcBorders>
              <w:top w:val="nil"/>
              <w:left w:val="nil"/>
              <w:bottom w:val="single" w:sz="4" w:space="0" w:color="D3D3D3"/>
              <w:right w:val="single" w:sz="4" w:space="0" w:color="D3D3D3"/>
            </w:tcBorders>
            <w:shd w:val="clear" w:color="auto" w:fill="auto"/>
            <w:vAlign w:val="center"/>
            <w:hideMark/>
          </w:tcPr>
          <w:p w14:paraId="7E858B3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24 </w:t>
            </w:r>
          </w:p>
        </w:tc>
        <w:tc>
          <w:tcPr>
            <w:tcW w:w="0" w:type="auto"/>
            <w:tcBorders>
              <w:top w:val="nil"/>
              <w:left w:val="nil"/>
              <w:bottom w:val="single" w:sz="4" w:space="0" w:color="D3D3D3"/>
              <w:right w:val="single" w:sz="4" w:space="0" w:color="D3D3D3"/>
            </w:tcBorders>
            <w:shd w:val="clear" w:color="auto" w:fill="auto"/>
            <w:vAlign w:val="center"/>
            <w:hideMark/>
          </w:tcPr>
          <w:p w14:paraId="643B5E2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15 </w:t>
            </w:r>
          </w:p>
        </w:tc>
        <w:tc>
          <w:tcPr>
            <w:tcW w:w="0" w:type="auto"/>
            <w:tcBorders>
              <w:top w:val="nil"/>
              <w:left w:val="nil"/>
              <w:bottom w:val="single" w:sz="4" w:space="0" w:color="D3D3D3"/>
              <w:right w:val="single" w:sz="4" w:space="0" w:color="D3D3D3"/>
            </w:tcBorders>
            <w:shd w:val="clear" w:color="auto" w:fill="auto"/>
            <w:vAlign w:val="center"/>
            <w:hideMark/>
          </w:tcPr>
          <w:p w14:paraId="5496F00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19 </w:t>
            </w:r>
          </w:p>
        </w:tc>
        <w:tc>
          <w:tcPr>
            <w:tcW w:w="0" w:type="auto"/>
            <w:tcBorders>
              <w:top w:val="nil"/>
              <w:left w:val="nil"/>
              <w:bottom w:val="single" w:sz="4" w:space="0" w:color="D3D3D3"/>
              <w:right w:val="single" w:sz="4" w:space="0" w:color="D3D3D3"/>
            </w:tcBorders>
            <w:shd w:val="clear" w:color="auto" w:fill="auto"/>
            <w:vAlign w:val="center"/>
            <w:hideMark/>
          </w:tcPr>
          <w:p w14:paraId="3D8326C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18 </w:t>
            </w:r>
          </w:p>
        </w:tc>
        <w:tc>
          <w:tcPr>
            <w:tcW w:w="0" w:type="auto"/>
            <w:tcBorders>
              <w:top w:val="nil"/>
              <w:left w:val="nil"/>
              <w:bottom w:val="single" w:sz="4" w:space="0" w:color="D3D3D3"/>
              <w:right w:val="single" w:sz="4" w:space="0" w:color="D3D3D3"/>
            </w:tcBorders>
            <w:shd w:val="clear" w:color="auto" w:fill="auto"/>
            <w:vAlign w:val="center"/>
            <w:hideMark/>
          </w:tcPr>
          <w:p w14:paraId="6B7402F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14 </w:t>
            </w:r>
          </w:p>
        </w:tc>
        <w:tc>
          <w:tcPr>
            <w:tcW w:w="0" w:type="auto"/>
            <w:tcBorders>
              <w:top w:val="nil"/>
              <w:left w:val="nil"/>
              <w:bottom w:val="single" w:sz="4" w:space="0" w:color="D3D3D3"/>
              <w:right w:val="single" w:sz="4" w:space="0" w:color="D3D3D3"/>
            </w:tcBorders>
            <w:shd w:val="clear" w:color="auto" w:fill="auto"/>
            <w:vAlign w:val="center"/>
            <w:hideMark/>
          </w:tcPr>
          <w:p w14:paraId="5CA20FD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14 </w:t>
            </w:r>
          </w:p>
        </w:tc>
        <w:tc>
          <w:tcPr>
            <w:tcW w:w="0" w:type="auto"/>
            <w:tcBorders>
              <w:top w:val="nil"/>
              <w:left w:val="nil"/>
              <w:bottom w:val="single" w:sz="4" w:space="0" w:color="D3D3D3"/>
              <w:right w:val="single" w:sz="4" w:space="0" w:color="D3D3D3"/>
            </w:tcBorders>
            <w:shd w:val="clear" w:color="auto" w:fill="auto"/>
            <w:vAlign w:val="center"/>
            <w:hideMark/>
          </w:tcPr>
          <w:p w14:paraId="5047D7E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15 </w:t>
            </w:r>
          </w:p>
        </w:tc>
        <w:tc>
          <w:tcPr>
            <w:tcW w:w="0" w:type="auto"/>
            <w:tcBorders>
              <w:top w:val="nil"/>
              <w:left w:val="nil"/>
              <w:bottom w:val="single" w:sz="4" w:space="0" w:color="D3D3D3"/>
              <w:right w:val="single" w:sz="4" w:space="0" w:color="D3D3D3"/>
            </w:tcBorders>
            <w:shd w:val="clear" w:color="auto" w:fill="auto"/>
            <w:vAlign w:val="center"/>
            <w:hideMark/>
          </w:tcPr>
          <w:p w14:paraId="6F33408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5 </w:t>
            </w:r>
          </w:p>
        </w:tc>
        <w:tc>
          <w:tcPr>
            <w:tcW w:w="762" w:type="dxa"/>
            <w:tcBorders>
              <w:top w:val="nil"/>
              <w:left w:val="nil"/>
              <w:bottom w:val="single" w:sz="4" w:space="0" w:color="D3D3D3"/>
              <w:right w:val="single" w:sz="4" w:space="0" w:color="D3D3D3"/>
            </w:tcBorders>
            <w:shd w:val="clear" w:color="auto" w:fill="auto"/>
            <w:vAlign w:val="center"/>
            <w:hideMark/>
          </w:tcPr>
          <w:p w14:paraId="1C3EE23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153 </w:t>
            </w:r>
          </w:p>
        </w:tc>
      </w:tr>
      <w:tr w:rsidR="00D25704" w:rsidRPr="002528F9" w14:paraId="67F7B45F"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73050F79"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242F87AD"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single" w:sz="4" w:space="0" w:color="auto"/>
              <w:left w:val="nil"/>
              <w:bottom w:val="single" w:sz="4" w:space="0" w:color="auto"/>
              <w:right w:val="single" w:sz="4" w:space="0" w:color="D3D3D3"/>
            </w:tcBorders>
            <w:shd w:val="clear" w:color="auto" w:fill="auto"/>
            <w:vAlign w:val="center"/>
            <w:hideMark/>
          </w:tcPr>
          <w:p w14:paraId="4E74AEE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28 </w:t>
            </w:r>
          </w:p>
        </w:tc>
        <w:tc>
          <w:tcPr>
            <w:tcW w:w="539" w:type="dxa"/>
            <w:tcBorders>
              <w:top w:val="single" w:sz="4" w:space="0" w:color="auto"/>
              <w:left w:val="nil"/>
              <w:bottom w:val="single" w:sz="4" w:space="0" w:color="auto"/>
              <w:right w:val="single" w:sz="4" w:space="0" w:color="D3D3D3"/>
            </w:tcBorders>
            <w:shd w:val="clear" w:color="auto" w:fill="auto"/>
            <w:vAlign w:val="center"/>
            <w:hideMark/>
          </w:tcPr>
          <w:p w14:paraId="6D675A9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31 </w:t>
            </w:r>
          </w:p>
        </w:tc>
        <w:tc>
          <w:tcPr>
            <w:tcW w:w="567" w:type="dxa"/>
            <w:tcBorders>
              <w:top w:val="single" w:sz="4" w:space="0" w:color="auto"/>
              <w:left w:val="nil"/>
              <w:bottom w:val="single" w:sz="4" w:space="0" w:color="auto"/>
              <w:right w:val="single" w:sz="4" w:space="0" w:color="D3D3D3"/>
            </w:tcBorders>
            <w:shd w:val="clear" w:color="auto" w:fill="auto"/>
            <w:vAlign w:val="center"/>
            <w:hideMark/>
          </w:tcPr>
          <w:p w14:paraId="310C32C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38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3C05760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32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388DD40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340C7A3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41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5DBA8AF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36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58721BE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33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2CA4E4D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42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4CEB5B2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23 </w:t>
            </w:r>
          </w:p>
        </w:tc>
        <w:tc>
          <w:tcPr>
            <w:tcW w:w="762" w:type="dxa"/>
            <w:tcBorders>
              <w:top w:val="single" w:sz="4" w:space="0" w:color="auto"/>
              <w:left w:val="nil"/>
              <w:bottom w:val="single" w:sz="4" w:space="0" w:color="auto"/>
              <w:right w:val="single" w:sz="4" w:space="0" w:color="D3D3D3"/>
            </w:tcBorders>
            <w:shd w:val="clear" w:color="auto" w:fill="auto"/>
            <w:vAlign w:val="center"/>
            <w:hideMark/>
          </w:tcPr>
          <w:p w14:paraId="7C15B61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334 </w:t>
            </w:r>
          </w:p>
        </w:tc>
      </w:tr>
      <w:tr w:rsidR="00D25704" w:rsidRPr="002528F9" w14:paraId="4227E2AE"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24CF91E1"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4A1C37C2"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nil"/>
              <w:left w:val="nil"/>
              <w:bottom w:val="single" w:sz="4" w:space="0" w:color="D3D3D3"/>
              <w:right w:val="single" w:sz="4" w:space="0" w:color="D3D3D3"/>
            </w:tcBorders>
            <w:shd w:val="clear" w:color="auto" w:fill="auto"/>
            <w:vAlign w:val="center"/>
            <w:hideMark/>
          </w:tcPr>
          <w:p w14:paraId="3793F13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single" w:sz="4" w:space="0" w:color="D3D3D3"/>
              <w:left w:val="nil"/>
              <w:bottom w:val="single" w:sz="4" w:space="0" w:color="D3D3D3"/>
              <w:right w:val="single" w:sz="4" w:space="0" w:color="D3D3D3"/>
            </w:tcBorders>
            <w:shd w:val="clear" w:color="auto" w:fill="auto"/>
            <w:vAlign w:val="center"/>
            <w:hideMark/>
          </w:tcPr>
          <w:p w14:paraId="41994F0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single" w:sz="4" w:space="0" w:color="D3D3D3"/>
              <w:left w:val="nil"/>
              <w:bottom w:val="single" w:sz="4" w:space="0" w:color="D3D3D3"/>
              <w:right w:val="single" w:sz="4" w:space="0" w:color="D3D3D3"/>
            </w:tcBorders>
            <w:shd w:val="clear" w:color="auto" w:fill="auto"/>
            <w:vAlign w:val="center"/>
            <w:hideMark/>
          </w:tcPr>
          <w:p w14:paraId="3179920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1FE462F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17B4CB8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0DF116A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74FE838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63094FE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774B13A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163ECDF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single" w:sz="4" w:space="0" w:color="D3D3D3"/>
              <w:left w:val="nil"/>
              <w:bottom w:val="single" w:sz="4" w:space="0" w:color="D3D3D3"/>
              <w:right w:val="single" w:sz="4" w:space="0" w:color="D3D3D3"/>
            </w:tcBorders>
            <w:shd w:val="clear" w:color="auto" w:fill="auto"/>
            <w:vAlign w:val="center"/>
            <w:hideMark/>
          </w:tcPr>
          <w:p w14:paraId="0270F30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r>
      <w:tr w:rsidR="00D25704" w:rsidRPr="002528F9" w14:paraId="345D8925"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0F2FFB38"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St John</w:t>
            </w:r>
          </w:p>
        </w:tc>
        <w:tc>
          <w:tcPr>
            <w:tcW w:w="1047" w:type="dxa"/>
            <w:tcBorders>
              <w:top w:val="nil"/>
              <w:left w:val="nil"/>
              <w:bottom w:val="single" w:sz="4" w:space="0" w:color="D3D3D3"/>
              <w:right w:val="single" w:sz="4" w:space="0" w:color="D3D3D3"/>
            </w:tcBorders>
            <w:shd w:val="clear" w:color="000000" w:fill="708090"/>
            <w:hideMark/>
          </w:tcPr>
          <w:p w14:paraId="3EC53AD5" w14:textId="6F767C3B"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R</w:t>
            </w:r>
            <w:r w:rsidR="0043774F">
              <w:rPr>
                <w:rFonts w:ascii="Lato" w:eastAsia="Times New Roman" w:hAnsi="Lato" w:cs="Tahoma"/>
                <w:color w:val="FFFFFF"/>
                <w:sz w:val="18"/>
                <w:szCs w:val="18"/>
                <w:lang w:eastAsia="en-CA"/>
              </w:rPr>
              <w:t>egular</w:t>
            </w:r>
          </w:p>
        </w:tc>
        <w:tc>
          <w:tcPr>
            <w:tcW w:w="758" w:type="dxa"/>
            <w:tcBorders>
              <w:top w:val="nil"/>
              <w:left w:val="nil"/>
              <w:bottom w:val="single" w:sz="4" w:space="0" w:color="D3D3D3"/>
              <w:right w:val="single" w:sz="4" w:space="0" w:color="D3D3D3"/>
            </w:tcBorders>
            <w:shd w:val="clear" w:color="auto" w:fill="auto"/>
            <w:vAlign w:val="center"/>
            <w:hideMark/>
          </w:tcPr>
          <w:p w14:paraId="2F6ECCA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15 </w:t>
            </w:r>
          </w:p>
        </w:tc>
        <w:tc>
          <w:tcPr>
            <w:tcW w:w="539" w:type="dxa"/>
            <w:tcBorders>
              <w:top w:val="nil"/>
              <w:left w:val="nil"/>
              <w:bottom w:val="single" w:sz="4" w:space="0" w:color="D3D3D3"/>
              <w:right w:val="single" w:sz="4" w:space="0" w:color="D3D3D3"/>
            </w:tcBorders>
            <w:shd w:val="clear" w:color="auto" w:fill="auto"/>
            <w:vAlign w:val="center"/>
            <w:hideMark/>
          </w:tcPr>
          <w:p w14:paraId="48AE034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17 </w:t>
            </w:r>
          </w:p>
        </w:tc>
        <w:tc>
          <w:tcPr>
            <w:tcW w:w="567" w:type="dxa"/>
            <w:tcBorders>
              <w:top w:val="nil"/>
              <w:left w:val="nil"/>
              <w:bottom w:val="single" w:sz="4" w:space="0" w:color="D3D3D3"/>
              <w:right w:val="single" w:sz="4" w:space="0" w:color="D3D3D3"/>
            </w:tcBorders>
            <w:shd w:val="clear" w:color="auto" w:fill="auto"/>
            <w:vAlign w:val="center"/>
            <w:hideMark/>
          </w:tcPr>
          <w:p w14:paraId="56BF8D4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14 </w:t>
            </w:r>
          </w:p>
        </w:tc>
        <w:tc>
          <w:tcPr>
            <w:tcW w:w="0" w:type="auto"/>
            <w:tcBorders>
              <w:top w:val="nil"/>
              <w:left w:val="nil"/>
              <w:bottom w:val="single" w:sz="4" w:space="0" w:color="D3D3D3"/>
              <w:right w:val="single" w:sz="4" w:space="0" w:color="D3D3D3"/>
            </w:tcBorders>
            <w:shd w:val="clear" w:color="auto" w:fill="auto"/>
            <w:vAlign w:val="center"/>
            <w:hideMark/>
          </w:tcPr>
          <w:p w14:paraId="0D9B031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10 </w:t>
            </w:r>
          </w:p>
        </w:tc>
        <w:tc>
          <w:tcPr>
            <w:tcW w:w="0" w:type="auto"/>
            <w:tcBorders>
              <w:top w:val="nil"/>
              <w:left w:val="nil"/>
              <w:bottom w:val="single" w:sz="4" w:space="0" w:color="D3D3D3"/>
              <w:right w:val="single" w:sz="4" w:space="0" w:color="D3D3D3"/>
            </w:tcBorders>
            <w:shd w:val="clear" w:color="auto" w:fill="auto"/>
            <w:vAlign w:val="center"/>
            <w:hideMark/>
          </w:tcPr>
          <w:p w14:paraId="0ED2EC6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21 </w:t>
            </w:r>
          </w:p>
        </w:tc>
        <w:tc>
          <w:tcPr>
            <w:tcW w:w="0" w:type="auto"/>
            <w:tcBorders>
              <w:top w:val="nil"/>
              <w:left w:val="nil"/>
              <w:bottom w:val="single" w:sz="4" w:space="0" w:color="D3D3D3"/>
              <w:right w:val="single" w:sz="4" w:space="0" w:color="D3D3D3"/>
            </w:tcBorders>
            <w:shd w:val="clear" w:color="auto" w:fill="auto"/>
            <w:vAlign w:val="center"/>
            <w:hideMark/>
          </w:tcPr>
          <w:p w14:paraId="4CC37A0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15 </w:t>
            </w:r>
          </w:p>
        </w:tc>
        <w:tc>
          <w:tcPr>
            <w:tcW w:w="0" w:type="auto"/>
            <w:tcBorders>
              <w:top w:val="nil"/>
              <w:left w:val="nil"/>
              <w:bottom w:val="single" w:sz="4" w:space="0" w:color="D3D3D3"/>
              <w:right w:val="single" w:sz="4" w:space="0" w:color="D3D3D3"/>
            </w:tcBorders>
            <w:shd w:val="clear" w:color="auto" w:fill="auto"/>
            <w:vAlign w:val="center"/>
            <w:hideMark/>
          </w:tcPr>
          <w:p w14:paraId="022DB6F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22 </w:t>
            </w:r>
          </w:p>
        </w:tc>
        <w:tc>
          <w:tcPr>
            <w:tcW w:w="0" w:type="auto"/>
            <w:tcBorders>
              <w:top w:val="nil"/>
              <w:left w:val="nil"/>
              <w:bottom w:val="single" w:sz="4" w:space="0" w:color="D3D3D3"/>
              <w:right w:val="single" w:sz="4" w:space="0" w:color="D3D3D3"/>
            </w:tcBorders>
            <w:shd w:val="clear" w:color="auto" w:fill="auto"/>
            <w:vAlign w:val="center"/>
            <w:hideMark/>
          </w:tcPr>
          <w:p w14:paraId="2ECFDED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21 </w:t>
            </w:r>
          </w:p>
        </w:tc>
        <w:tc>
          <w:tcPr>
            <w:tcW w:w="0" w:type="auto"/>
            <w:tcBorders>
              <w:top w:val="nil"/>
              <w:left w:val="nil"/>
              <w:bottom w:val="single" w:sz="4" w:space="0" w:color="D3D3D3"/>
              <w:right w:val="single" w:sz="4" w:space="0" w:color="D3D3D3"/>
            </w:tcBorders>
            <w:shd w:val="clear" w:color="auto" w:fill="auto"/>
            <w:vAlign w:val="center"/>
            <w:hideMark/>
          </w:tcPr>
          <w:p w14:paraId="77A4CD2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085F22F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44CE2B3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135 </w:t>
            </w:r>
          </w:p>
        </w:tc>
      </w:tr>
      <w:tr w:rsidR="00D25704" w:rsidRPr="002528F9" w14:paraId="464766C0"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03631CF2"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St John</w:t>
            </w:r>
          </w:p>
        </w:tc>
        <w:tc>
          <w:tcPr>
            <w:tcW w:w="1047" w:type="dxa"/>
            <w:tcBorders>
              <w:top w:val="nil"/>
              <w:left w:val="nil"/>
              <w:bottom w:val="single" w:sz="4" w:space="0" w:color="D3D3D3"/>
              <w:right w:val="single" w:sz="4" w:space="0" w:color="D3D3D3"/>
            </w:tcBorders>
            <w:shd w:val="clear" w:color="000000" w:fill="708090"/>
            <w:hideMark/>
          </w:tcPr>
          <w:p w14:paraId="0C5A34DA" w14:textId="55425700"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F</w:t>
            </w:r>
            <w:r w:rsidR="0043774F">
              <w:rPr>
                <w:rFonts w:ascii="Lato" w:eastAsia="Times New Roman" w:hAnsi="Lato" w:cs="Tahoma"/>
                <w:color w:val="FFFFFF"/>
                <w:sz w:val="18"/>
                <w:szCs w:val="18"/>
                <w:lang w:eastAsia="en-CA"/>
              </w:rPr>
              <w:t>rench Immersion</w:t>
            </w:r>
          </w:p>
        </w:tc>
        <w:tc>
          <w:tcPr>
            <w:tcW w:w="758" w:type="dxa"/>
            <w:tcBorders>
              <w:top w:val="nil"/>
              <w:left w:val="nil"/>
              <w:bottom w:val="nil"/>
              <w:right w:val="single" w:sz="4" w:space="0" w:color="D3D3D3"/>
            </w:tcBorders>
            <w:shd w:val="clear" w:color="auto" w:fill="auto"/>
            <w:vAlign w:val="center"/>
            <w:hideMark/>
          </w:tcPr>
          <w:p w14:paraId="7BAA46D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15 </w:t>
            </w:r>
          </w:p>
        </w:tc>
        <w:tc>
          <w:tcPr>
            <w:tcW w:w="539" w:type="dxa"/>
            <w:tcBorders>
              <w:top w:val="nil"/>
              <w:left w:val="nil"/>
              <w:bottom w:val="single" w:sz="4" w:space="0" w:color="D3D3D3"/>
              <w:right w:val="single" w:sz="4" w:space="0" w:color="D3D3D3"/>
            </w:tcBorders>
            <w:shd w:val="clear" w:color="auto" w:fill="auto"/>
            <w:vAlign w:val="center"/>
            <w:hideMark/>
          </w:tcPr>
          <w:p w14:paraId="4E6D8AE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11 </w:t>
            </w:r>
          </w:p>
        </w:tc>
        <w:tc>
          <w:tcPr>
            <w:tcW w:w="567" w:type="dxa"/>
            <w:tcBorders>
              <w:top w:val="nil"/>
              <w:left w:val="nil"/>
              <w:bottom w:val="single" w:sz="4" w:space="0" w:color="D3D3D3"/>
              <w:right w:val="single" w:sz="4" w:space="0" w:color="D3D3D3"/>
            </w:tcBorders>
            <w:shd w:val="clear" w:color="auto" w:fill="auto"/>
            <w:vAlign w:val="center"/>
            <w:hideMark/>
          </w:tcPr>
          <w:p w14:paraId="5B770BF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14 </w:t>
            </w:r>
          </w:p>
        </w:tc>
        <w:tc>
          <w:tcPr>
            <w:tcW w:w="0" w:type="auto"/>
            <w:tcBorders>
              <w:top w:val="nil"/>
              <w:left w:val="nil"/>
              <w:bottom w:val="single" w:sz="4" w:space="0" w:color="D3D3D3"/>
              <w:right w:val="single" w:sz="4" w:space="0" w:color="D3D3D3"/>
            </w:tcBorders>
            <w:shd w:val="clear" w:color="auto" w:fill="auto"/>
            <w:vAlign w:val="center"/>
            <w:hideMark/>
          </w:tcPr>
          <w:p w14:paraId="0112340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16 </w:t>
            </w:r>
          </w:p>
        </w:tc>
        <w:tc>
          <w:tcPr>
            <w:tcW w:w="0" w:type="auto"/>
            <w:tcBorders>
              <w:top w:val="nil"/>
              <w:left w:val="nil"/>
              <w:bottom w:val="single" w:sz="4" w:space="0" w:color="D3D3D3"/>
              <w:right w:val="single" w:sz="4" w:space="0" w:color="D3D3D3"/>
            </w:tcBorders>
            <w:shd w:val="clear" w:color="auto" w:fill="auto"/>
            <w:vAlign w:val="center"/>
            <w:hideMark/>
          </w:tcPr>
          <w:p w14:paraId="3263E19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13 </w:t>
            </w:r>
          </w:p>
        </w:tc>
        <w:tc>
          <w:tcPr>
            <w:tcW w:w="0" w:type="auto"/>
            <w:tcBorders>
              <w:top w:val="nil"/>
              <w:left w:val="nil"/>
              <w:bottom w:val="single" w:sz="4" w:space="0" w:color="D3D3D3"/>
              <w:right w:val="single" w:sz="4" w:space="0" w:color="D3D3D3"/>
            </w:tcBorders>
            <w:shd w:val="clear" w:color="auto" w:fill="auto"/>
            <w:vAlign w:val="center"/>
            <w:hideMark/>
          </w:tcPr>
          <w:p w14:paraId="3CD1416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6 </w:t>
            </w:r>
          </w:p>
        </w:tc>
        <w:tc>
          <w:tcPr>
            <w:tcW w:w="0" w:type="auto"/>
            <w:tcBorders>
              <w:top w:val="nil"/>
              <w:left w:val="nil"/>
              <w:bottom w:val="single" w:sz="4" w:space="0" w:color="D3D3D3"/>
              <w:right w:val="single" w:sz="4" w:space="0" w:color="D3D3D3"/>
            </w:tcBorders>
            <w:shd w:val="clear" w:color="auto" w:fill="auto"/>
            <w:vAlign w:val="center"/>
            <w:hideMark/>
          </w:tcPr>
          <w:p w14:paraId="42C70DE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8 </w:t>
            </w:r>
          </w:p>
        </w:tc>
        <w:tc>
          <w:tcPr>
            <w:tcW w:w="0" w:type="auto"/>
            <w:tcBorders>
              <w:top w:val="nil"/>
              <w:left w:val="nil"/>
              <w:bottom w:val="single" w:sz="4" w:space="0" w:color="D3D3D3"/>
              <w:right w:val="single" w:sz="4" w:space="0" w:color="D3D3D3"/>
            </w:tcBorders>
            <w:shd w:val="clear" w:color="auto" w:fill="auto"/>
            <w:vAlign w:val="center"/>
            <w:hideMark/>
          </w:tcPr>
          <w:p w14:paraId="696E4F3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10 </w:t>
            </w:r>
          </w:p>
        </w:tc>
        <w:tc>
          <w:tcPr>
            <w:tcW w:w="0" w:type="auto"/>
            <w:tcBorders>
              <w:top w:val="nil"/>
              <w:left w:val="nil"/>
              <w:bottom w:val="single" w:sz="4" w:space="0" w:color="D3D3D3"/>
              <w:right w:val="single" w:sz="4" w:space="0" w:color="D3D3D3"/>
            </w:tcBorders>
            <w:shd w:val="clear" w:color="auto" w:fill="auto"/>
            <w:vAlign w:val="center"/>
            <w:hideMark/>
          </w:tcPr>
          <w:p w14:paraId="47E185B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31D4633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3BEE769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93 </w:t>
            </w:r>
          </w:p>
        </w:tc>
      </w:tr>
      <w:tr w:rsidR="00D25704" w:rsidRPr="002528F9" w14:paraId="5194D4E1"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3C3DB7EE"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26C5F9AF"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single" w:sz="4" w:space="0" w:color="auto"/>
              <w:left w:val="nil"/>
              <w:bottom w:val="single" w:sz="4" w:space="0" w:color="auto"/>
              <w:right w:val="single" w:sz="4" w:space="0" w:color="D3D3D3"/>
            </w:tcBorders>
            <w:shd w:val="clear" w:color="auto" w:fill="auto"/>
            <w:vAlign w:val="center"/>
            <w:hideMark/>
          </w:tcPr>
          <w:p w14:paraId="1408685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30 </w:t>
            </w:r>
          </w:p>
        </w:tc>
        <w:tc>
          <w:tcPr>
            <w:tcW w:w="539" w:type="dxa"/>
            <w:tcBorders>
              <w:top w:val="single" w:sz="4" w:space="0" w:color="auto"/>
              <w:left w:val="nil"/>
              <w:bottom w:val="single" w:sz="4" w:space="0" w:color="auto"/>
              <w:right w:val="single" w:sz="4" w:space="0" w:color="D3D3D3"/>
            </w:tcBorders>
            <w:shd w:val="clear" w:color="auto" w:fill="auto"/>
            <w:vAlign w:val="center"/>
            <w:hideMark/>
          </w:tcPr>
          <w:p w14:paraId="2197D38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28 </w:t>
            </w:r>
          </w:p>
        </w:tc>
        <w:tc>
          <w:tcPr>
            <w:tcW w:w="567" w:type="dxa"/>
            <w:tcBorders>
              <w:top w:val="single" w:sz="4" w:space="0" w:color="auto"/>
              <w:left w:val="nil"/>
              <w:bottom w:val="single" w:sz="4" w:space="0" w:color="auto"/>
              <w:right w:val="single" w:sz="4" w:space="0" w:color="D3D3D3"/>
            </w:tcBorders>
            <w:shd w:val="clear" w:color="auto" w:fill="auto"/>
            <w:vAlign w:val="center"/>
            <w:hideMark/>
          </w:tcPr>
          <w:p w14:paraId="589AE0E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28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48B29EE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26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0786414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34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44843B2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21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1FDF387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5186F90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31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420BCD9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59DC04F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762" w:type="dxa"/>
            <w:tcBorders>
              <w:top w:val="single" w:sz="4" w:space="0" w:color="auto"/>
              <w:left w:val="nil"/>
              <w:bottom w:val="single" w:sz="4" w:space="0" w:color="auto"/>
              <w:right w:val="single" w:sz="4" w:space="0" w:color="D3D3D3"/>
            </w:tcBorders>
            <w:shd w:val="clear" w:color="auto" w:fill="auto"/>
            <w:vAlign w:val="center"/>
            <w:hideMark/>
          </w:tcPr>
          <w:p w14:paraId="68B70DA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228 </w:t>
            </w:r>
          </w:p>
        </w:tc>
      </w:tr>
      <w:tr w:rsidR="00D25704" w:rsidRPr="002528F9" w14:paraId="2CA94CFC"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55B7A191"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00BE0BC0"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nil"/>
              <w:left w:val="nil"/>
              <w:bottom w:val="nil"/>
              <w:right w:val="single" w:sz="4" w:space="0" w:color="D3D3D3"/>
            </w:tcBorders>
            <w:shd w:val="clear" w:color="auto" w:fill="auto"/>
            <w:vAlign w:val="center"/>
            <w:hideMark/>
          </w:tcPr>
          <w:p w14:paraId="15D5709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single" w:sz="4" w:space="0" w:color="D3D3D3"/>
              <w:left w:val="nil"/>
              <w:bottom w:val="nil"/>
              <w:right w:val="single" w:sz="4" w:space="0" w:color="D3D3D3"/>
            </w:tcBorders>
            <w:shd w:val="clear" w:color="auto" w:fill="auto"/>
            <w:vAlign w:val="center"/>
            <w:hideMark/>
          </w:tcPr>
          <w:p w14:paraId="384CE7E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single" w:sz="4" w:space="0" w:color="D3D3D3"/>
              <w:left w:val="nil"/>
              <w:bottom w:val="nil"/>
              <w:right w:val="single" w:sz="4" w:space="0" w:color="D3D3D3"/>
            </w:tcBorders>
            <w:shd w:val="clear" w:color="auto" w:fill="auto"/>
            <w:vAlign w:val="center"/>
            <w:hideMark/>
          </w:tcPr>
          <w:p w14:paraId="796A9F1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nil"/>
              <w:right w:val="single" w:sz="4" w:space="0" w:color="D3D3D3"/>
            </w:tcBorders>
            <w:shd w:val="clear" w:color="auto" w:fill="auto"/>
            <w:vAlign w:val="center"/>
            <w:hideMark/>
          </w:tcPr>
          <w:p w14:paraId="0A652C3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nil"/>
              <w:right w:val="single" w:sz="4" w:space="0" w:color="D3D3D3"/>
            </w:tcBorders>
            <w:shd w:val="clear" w:color="auto" w:fill="auto"/>
            <w:vAlign w:val="center"/>
            <w:hideMark/>
          </w:tcPr>
          <w:p w14:paraId="665EEAB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nil"/>
              <w:right w:val="single" w:sz="4" w:space="0" w:color="D3D3D3"/>
            </w:tcBorders>
            <w:shd w:val="clear" w:color="auto" w:fill="auto"/>
            <w:vAlign w:val="center"/>
            <w:hideMark/>
          </w:tcPr>
          <w:p w14:paraId="625F3E0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nil"/>
              <w:right w:val="single" w:sz="4" w:space="0" w:color="D3D3D3"/>
            </w:tcBorders>
            <w:shd w:val="clear" w:color="auto" w:fill="auto"/>
            <w:vAlign w:val="center"/>
            <w:hideMark/>
          </w:tcPr>
          <w:p w14:paraId="7ADC752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nil"/>
              <w:right w:val="single" w:sz="4" w:space="0" w:color="D3D3D3"/>
            </w:tcBorders>
            <w:shd w:val="clear" w:color="auto" w:fill="auto"/>
            <w:vAlign w:val="center"/>
            <w:hideMark/>
          </w:tcPr>
          <w:p w14:paraId="7688343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nil"/>
              <w:right w:val="single" w:sz="4" w:space="0" w:color="D3D3D3"/>
            </w:tcBorders>
            <w:shd w:val="clear" w:color="auto" w:fill="auto"/>
            <w:vAlign w:val="center"/>
            <w:hideMark/>
          </w:tcPr>
          <w:p w14:paraId="6248C96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nil"/>
              <w:right w:val="single" w:sz="4" w:space="0" w:color="D3D3D3"/>
            </w:tcBorders>
            <w:shd w:val="clear" w:color="auto" w:fill="auto"/>
            <w:vAlign w:val="center"/>
            <w:hideMark/>
          </w:tcPr>
          <w:p w14:paraId="1D64162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single" w:sz="4" w:space="0" w:color="D3D3D3"/>
              <w:left w:val="nil"/>
              <w:bottom w:val="nil"/>
              <w:right w:val="single" w:sz="4" w:space="0" w:color="D3D3D3"/>
            </w:tcBorders>
            <w:shd w:val="clear" w:color="auto" w:fill="auto"/>
            <w:vAlign w:val="center"/>
            <w:hideMark/>
          </w:tcPr>
          <w:p w14:paraId="23B3329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r>
      <w:tr w:rsidR="00D25704" w:rsidRPr="002528F9" w14:paraId="26E97A46"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75FB2FDE"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St Joseph</w:t>
            </w:r>
          </w:p>
        </w:tc>
        <w:tc>
          <w:tcPr>
            <w:tcW w:w="1047" w:type="dxa"/>
            <w:tcBorders>
              <w:top w:val="nil"/>
              <w:left w:val="nil"/>
              <w:bottom w:val="single" w:sz="4" w:space="0" w:color="D3D3D3"/>
              <w:right w:val="single" w:sz="4" w:space="0" w:color="D3D3D3"/>
            </w:tcBorders>
            <w:shd w:val="clear" w:color="000000" w:fill="708090"/>
            <w:hideMark/>
          </w:tcPr>
          <w:p w14:paraId="40684D10"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Small School</w:t>
            </w:r>
          </w:p>
        </w:tc>
        <w:tc>
          <w:tcPr>
            <w:tcW w:w="758" w:type="dxa"/>
            <w:tcBorders>
              <w:top w:val="single" w:sz="4" w:space="0" w:color="auto"/>
              <w:left w:val="nil"/>
              <w:bottom w:val="single" w:sz="4" w:space="0" w:color="auto"/>
              <w:right w:val="single" w:sz="4" w:space="0" w:color="D3D3D3"/>
            </w:tcBorders>
            <w:shd w:val="clear" w:color="auto" w:fill="auto"/>
            <w:vAlign w:val="center"/>
            <w:hideMark/>
          </w:tcPr>
          <w:p w14:paraId="7C612A9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single" w:sz="4" w:space="0" w:color="auto"/>
              <w:left w:val="nil"/>
              <w:bottom w:val="single" w:sz="4" w:space="0" w:color="auto"/>
              <w:right w:val="single" w:sz="4" w:space="0" w:color="D3D3D3"/>
            </w:tcBorders>
            <w:shd w:val="clear" w:color="auto" w:fill="auto"/>
            <w:vAlign w:val="center"/>
            <w:hideMark/>
          </w:tcPr>
          <w:p w14:paraId="36AAC8A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 </w:t>
            </w:r>
          </w:p>
        </w:tc>
        <w:tc>
          <w:tcPr>
            <w:tcW w:w="567" w:type="dxa"/>
            <w:tcBorders>
              <w:top w:val="single" w:sz="4" w:space="0" w:color="auto"/>
              <w:left w:val="nil"/>
              <w:bottom w:val="single" w:sz="4" w:space="0" w:color="auto"/>
              <w:right w:val="single" w:sz="4" w:space="0" w:color="D3D3D3"/>
            </w:tcBorders>
            <w:shd w:val="clear" w:color="auto" w:fill="auto"/>
            <w:vAlign w:val="center"/>
            <w:hideMark/>
          </w:tcPr>
          <w:p w14:paraId="50E08FB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51F5A87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584D6A7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2CF9899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7C20D24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122EE46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2BFC0BE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7F62166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single" w:sz="4" w:space="0" w:color="auto"/>
              <w:left w:val="nil"/>
              <w:bottom w:val="single" w:sz="4" w:space="0" w:color="auto"/>
              <w:right w:val="single" w:sz="4" w:space="0" w:color="D3D3D3"/>
            </w:tcBorders>
            <w:shd w:val="clear" w:color="auto" w:fill="auto"/>
            <w:vAlign w:val="center"/>
            <w:hideMark/>
          </w:tcPr>
          <w:p w14:paraId="71034E8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7 </w:t>
            </w:r>
          </w:p>
        </w:tc>
      </w:tr>
      <w:tr w:rsidR="00D25704" w:rsidRPr="002528F9" w14:paraId="2DA49A4D"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66049D6E"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5A18622C"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nil"/>
              <w:left w:val="nil"/>
              <w:bottom w:val="single" w:sz="4" w:space="0" w:color="D3D3D3"/>
              <w:right w:val="single" w:sz="4" w:space="0" w:color="D3D3D3"/>
            </w:tcBorders>
            <w:shd w:val="clear" w:color="auto" w:fill="auto"/>
            <w:vAlign w:val="center"/>
            <w:hideMark/>
          </w:tcPr>
          <w:p w14:paraId="747B0A5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nil"/>
              <w:left w:val="nil"/>
              <w:bottom w:val="single" w:sz="4" w:space="0" w:color="D3D3D3"/>
              <w:right w:val="single" w:sz="4" w:space="0" w:color="D3D3D3"/>
            </w:tcBorders>
            <w:shd w:val="clear" w:color="auto" w:fill="auto"/>
            <w:vAlign w:val="center"/>
            <w:hideMark/>
          </w:tcPr>
          <w:p w14:paraId="2F47F1E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nil"/>
              <w:left w:val="nil"/>
              <w:bottom w:val="single" w:sz="4" w:space="0" w:color="D3D3D3"/>
              <w:right w:val="single" w:sz="4" w:space="0" w:color="D3D3D3"/>
            </w:tcBorders>
            <w:shd w:val="clear" w:color="auto" w:fill="auto"/>
            <w:vAlign w:val="center"/>
            <w:hideMark/>
          </w:tcPr>
          <w:p w14:paraId="761856E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1EC9CA6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3E66DB8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0B00015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1A411F4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4F59E67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46EB773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524948D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607CC52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r>
      <w:tr w:rsidR="00D25704" w:rsidRPr="002528F9" w14:paraId="341C55FD"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1EC03EBC"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50338611"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nil"/>
              <w:left w:val="nil"/>
              <w:bottom w:val="nil"/>
              <w:right w:val="single" w:sz="4" w:space="0" w:color="D3D3D3"/>
            </w:tcBorders>
            <w:shd w:val="clear" w:color="auto" w:fill="auto"/>
            <w:vAlign w:val="center"/>
            <w:hideMark/>
          </w:tcPr>
          <w:p w14:paraId="63AB16D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nil"/>
              <w:left w:val="nil"/>
              <w:bottom w:val="nil"/>
              <w:right w:val="single" w:sz="4" w:space="0" w:color="D3D3D3"/>
            </w:tcBorders>
            <w:shd w:val="clear" w:color="auto" w:fill="auto"/>
            <w:vAlign w:val="center"/>
            <w:hideMark/>
          </w:tcPr>
          <w:p w14:paraId="3598EA3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nil"/>
              <w:left w:val="nil"/>
              <w:bottom w:val="nil"/>
              <w:right w:val="single" w:sz="4" w:space="0" w:color="D3D3D3"/>
            </w:tcBorders>
            <w:shd w:val="clear" w:color="auto" w:fill="auto"/>
            <w:vAlign w:val="center"/>
            <w:hideMark/>
          </w:tcPr>
          <w:p w14:paraId="465DEFD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nil"/>
              <w:right w:val="single" w:sz="4" w:space="0" w:color="D3D3D3"/>
            </w:tcBorders>
            <w:shd w:val="clear" w:color="auto" w:fill="auto"/>
            <w:vAlign w:val="center"/>
            <w:hideMark/>
          </w:tcPr>
          <w:p w14:paraId="1CC7A76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nil"/>
              <w:right w:val="single" w:sz="4" w:space="0" w:color="D3D3D3"/>
            </w:tcBorders>
            <w:shd w:val="clear" w:color="auto" w:fill="auto"/>
            <w:vAlign w:val="center"/>
            <w:hideMark/>
          </w:tcPr>
          <w:p w14:paraId="326D39F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nil"/>
              <w:right w:val="single" w:sz="4" w:space="0" w:color="D3D3D3"/>
            </w:tcBorders>
            <w:shd w:val="clear" w:color="auto" w:fill="auto"/>
            <w:vAlign w:val="center"/>
            <w:hideMark/>
          </w:tcPr>
          <w:p w14:paraId="23565B2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nil"/>
              <w:right w:val="single" w:sz="4" w:space="0" w:color="D3D3D3"/>
            </w:tcBorders>
            <w:shd w:val="clear" w:color="auto" w:fill="auto"/>
            <w:vAlign w:val="center"/>
            <w:hideMark/>
          </w:tcPr>
          <w:p w14:paraId="42F3C28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nil"/>
              <w:right w:val="single" w:sz="4" w:space="0" w:color="D3D3D3"/>
            </w:tcBorders>
            <w:shd w:val="clear" w:color="auto" w:fill="auto"/>
            <w:vAlign w:val="center"/>
            <w:hideMark/>
          </w:tcPr>
          <w:p w14:paraId="1C79B8D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nil"/>
              <w:right w:val="single" w:sz="4" w:space="0" w:color="D3D3D3"/>
            </w:tcBorders>
            <w:shd w:val="clear" w:color="auto" w:fill="auto"/>
            <w:vAlign w:val="center"/>
            <w:hideMark/>
          </w:tcPr>
          <w:p w14:paraId="04B3D74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nil"/>
              <w:right w:val="single" w:sz="4" w:space="0" w:color="D3D3D3"/>
            </w:tcBorders>
            <w:shd w:val="clear" w:color="auto" w:fill="auto"/>
            <w:vAlign w:val="center"/>
            <w:hideMark/>
          </w:tcPr>
          <w:p w14:paraId="0255D4B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nil"/>
              <w:right w:val="single" w:sz="4" w:space="0" w:color="D3D3D3"/>
            </w:tcBorders>
            <w:shd w:val="clear" w:color="auto" w:fill="auto"/>
            <w:vAlign w:val="center"/>
            <w:hideMark/>
          </w:tcPr>
          <w:p w14:paraId="31CD82B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r>
      <w:tr w:rsidR="00D25704" w:rsidRPr="002528F9" w14:paraId="17C9042F"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3E1B9B89"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St Mark</w:t>
            </w:r>
          </w:p>
        </w:tc>
        <w:tc>
          <w:tcPr>
            <w:tcW w:w="1047" w:type="dxa"/>
            <w:tcBorders>
              <w:top w:val="nil"/>
              <w:left w:val="nil"/>
              <w:bottom w:val="single" w:sz="4" w:space="0" w:color="D3D3D3"/>
              <w:right w:val="single" w:sz="4" w:space="0" w:color="D3D3D3"/>
            </w:tcBorders>
            <w:shd w:val="clear" w:color="000000" w:fill="708090"/>
            <w:hideMark/>
          </w:tcPr>
          <w:p w14:paraId="442A9B54"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Small School</w:t>
            </w:r>
          </w:p>
        </w:tc>
        <w:tc>
          <w:tcPr>
            <w:tcW w:w="758" w:type="dxa"/>
            <w:tcBorders>
              <w:top w:val="single" w:sz="4" w:space="0" w:color="auto"/>
              <w:left w:val="nil"/>
              <w:bottom w:val="single" w:sz="4" w:space="0" w:color="auto"/>
              <w:right w:val="single" w:sz="4" w:space="0" w:color="D3D3D3"/>
            </w:tcBorders>
            <w:shd w:val="clear" w:color="auto" w:fill="auto"/>
            <w:vAlign w:val="center"/>
            <w:hideMark/>
          </w:tcPr>
          <w:p w14:paraId="3195C71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single" w:sz="4" w:space="0" w:color="auto"/>
              <w:left w:val="nil"/>
              <w:bottom w:val="single" w:sz="4" w:space="0" w:color="auto"/>
              <w:right w:val="single" w:sz="4" w:space="0" w:color="D3D3D3"/>
            </w:tcBorders>
            <w:shd w:val="clear" w:color="auto" w:fill="auto"/>
            <w:vAlign w:val="center"/>
            <w:hideMark/>
          </w:tcPr>
          <w:p w14:paraId="5A02EA6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single" w:sz="4" w:space="0" w:color="auto"/>
              <w:left w:val="nil"/>
              <w:bottom w:val="single" w:sz="4" w:space="0" w:color="auto"/>
              <w:right w:val="single" w:sz="4" w:space="0" w:color="D3D3D3"/>
            </w:tcBorders>
            <w:shd w:val="clear" w:color="auto" w:fill="auto"/>
            <w:vAlign w:val="center"/>
            <w:hideMark/>
          </w:tcPr>
          <w:p w14:paraId="3CE7951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1B4E554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2729CC0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0983DB9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228CF80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151487F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4FB059D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3B73111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single" w:sz="4" w:space="0" w:color="auto"/>
              <w:left w:val="nil"/>
              <w:bottom w:val="single" w:sz="4" w:space="0" w:color="auto"/>
              <w:right w:val="single" w:sz="4" w:space="0" w:color="D3D3D3"/>
            </w:tcBorders>
            <w:shd w:val="clear" w:color="auto" w:fill="auto"/>
            <w:vAlign w:val="center"/>
            <w:hideMark/>
          </w:tcPr>
          <w:p w14:paraId="4862F7C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7 </w:t>
            </w:r>
          </w:p>
        </w:tc>
      </w:tr>
      <w:tr w:rsidR="00D25704" w:rsidRPr="002528F9" w14:paraId="35A8DC43"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15B245F6"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73329B65"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nil"/>
              <w:left w:val="nil"/>
              <w:bottom w:val="single" w:sz="4" w:space="0" w:color="D3D3D3"/>
              <w:right w:val="single" w:sz="4" w:space="0" w:color="D3D3D3"/>
            </w:tcBorders>
            <w:shd w:val="clear" w:color="auto" w:fill="auto"/>
            <w:vAlign w:val="center"/>
            <w:hideMark/>
          </w:tcPr>
          <w:p w14:paraId="7780784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nil"/>
              <w:left w:val="nil"/>
              <w:bottom w:val="single" w:sz="4" w:space="0" w:color="D3D3D3"/>
              <w:right w:val="single" w:sz="4" w:space="0" w:color="D3D3D3"/>
            </w:tcBorders>
            <w:shd w:val="clear" w:color="auto" w:fill="auto"/>
            <w:vAlign w:val="center"/>
            <w:hideMark/>
          </w:tcPr>
          <w:p w14:paraId="169284E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nil"/>
              <w:left w:val="nil"/>
              <w:bottom w:val="single" w:sz="4" w:space="0" w:color="D3D3D3"/>
              <w:right w:val="single" w:sz="4" w:space="0" w:color="D3D3D3"/>
            </w:tcBorders>
            <w:shd w:val="clear" w:color="auto" w:fill="auto"/>
            <w:vAlign w:val="center"/>
            <w:hideMark/>
          </w:tcPr>
          <w:p w14:paraId="0E003376"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38C2DE2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26D259E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6ED0194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4065DC1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1EB9DDA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5B788A4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3A5DE4B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3F1C244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r>
      <w:tr w:rsidR="00D25704" w:rsidRPr="002528F9" w14:paraId="3063D3FE"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2A16C4B7"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46857A2B"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nil"/>
              <w:left w:val="nil"/>
              <w:bottom w:val="single" w:sz="4" w:space="0" w:color="D3D3D3"/>
              <w:right w:val="single" w:sz="4" w:space="0" w:color="D3D3D3"/>
            </w:tcBorders>
            <w:shd w:val="clear" w:color="auto" w:fill="auto"/>
            <w:vAlign w:val="center"/>
            <w:hideMark/>
          </w:tcPr>
          <w:p w14:paraId="09ACADB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nil"/>
              <w:left w:val="nil"/>
              <w:bottom w:val="single" w:sz="4" w:space="0" w:color="D3D3D3"/>
              <w:right w:val="single" w:sz="4" w:space="0" w:color="D3D3D3"/>
            </w:tcBorders>
            <w:shd w:val="clear" w:color="auto" w:fill="auto"/>
            <w:vAlign w:val="center"/>
            <w:hideMark/>
          </w:tcPr>
          <w:p w14:paraId="40914D7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nil"/>
              <w:left w:val="nil"/>
              <w:bottom w:val="single" w:sz="4" w:space="0" w:color="D3D3D3"/>
              <w:right w:val="single" w:sz="4" w:space="0" w:color="D3D3D3"/>
            </w:tcBorders>
            <w:shd w:val="clear" w:color="auto" w:fill="auto"/>
            <w:vAlign w:val="center"/>
            <w:hideMark/>
          </w:tcPr>
          <w:p w14:paraId="21560EC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7D827AE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11B1E51C"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70AF19F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08832A4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2AFA168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573FE58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49546E3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4715F4F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r>
      <w:tr w:rsidR="00D25704" w:rsidRPr="002528F9" w14:paraId="187EBA24"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00C88175"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St Paul</w:t>
            </w:r>
          </w:p>
        </w:tc>
        <w:tc>
          <w:tcPr>
            <w:tcW w:w="1047" w:type="dxa"/>
            <w:tcBorders>
              <w:top w:val="nil"/>
              <w:left w:val="nil"/>
              <w:bottom w:val="single" w:sz="4" w:space="0" w:color="D3D3D3"/>
              <w:right w:val="single" w:sz="4" w:space="0" w:color="D3D3D3"/>
            </w:tcBorders>
            <w:shd w:val="clear" w:color="000000" w:fill="708090"/>
            <w:hideMark/>
          </w:tcPr>
          <w:p w14:paraId="271B123D" w14:textId="74A0B3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R</w:t>
            </w:r>
            <w:r w:rsidR="0043774F">
              <w:rPr>
                <w:rFonts w:ascii="Lato" w:eastAsia="Times New Roman" w:hAnsi="Lato" w:cs="Tahoma"/>
                <w:color w:val="FFFFFF"/>
                <w:sz w:val="18"/>
                <w:szCs w:val="18"/>
                <w:lang w:eastAsia="en-CA"/>
              </w:rPr>
              <w:t>egular</w:t>
            </w:r>
          </w:p>
        </w:tc>
        <w:tc>
          <w:tcPr>
            <w:tcW w:w="758" w:type="dxa"/>
            <w:tcBorders>
              <w:top w:val="nil"/>
              <w:left w:val="nil"/>
              <w:bottom w:val="single" w:sz="4" w:space="0" w:color="D3D3D3"/>
              <w:right w:val="single" w:sz="4" w:space="0" w:color="D3D3D3"/>
            </w:tcBorders>
            <w:shd w:val="clear" w:color="auto" w:fill="auto"/>
            <w:vAlign w:val="center"/>
            <w:hideMark/>
          </w:tcPr>
          <w:p w14:paraId="5497727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10 </w:t>
            </w:r>
          </w:p>
        </w:tc>
        <w:tc>
          <w:tcPr>
            <w:tcW w:w="539" w:type="dxa"/>
            <w:tcBorders>
              <w:top w:val="nil"/>
              <w:left w:val="nil"/>
              <w:bottom w:val="single" w:sz="4" w:space="0" w:color="D3D3D3"/>
              <w:right w:val="single" w:sz="4" w:space="0" w:color="D3D3D3"/>
            </w:tcBorders>
            <w:shd w:val="clear" w:color="auto" w:fill="auto"/>
            <w:vAlign w:val="center"/>
            <w:hideMark/>
          </w:tcPr>
          <w:p w14:paraId="51104A4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6 </w:t>
            </w:r>
          </w:p>
        </w:tc>
        <w:tc>
          <w:tcPr>
            <w:tcW w:w="567" w:type="dxa"/>
            <w:tcBorders>
              <w:top w:val="nil"/>
              <w:left w:val="nil"/>
              <w:bottom w:val="single" w:sz="4" w:space="0" w:color="D3D3D3"/>
              <w:right w:val="single" w:sz="4" w:space="0" w:color="D3D3D3"/>
            </w:tcBorders>
            <w:shd w:val="clear" w:color="auto" w:fill="auto"/>
            <w:vAlign w:val="center"/>
            <w:hideMark/>
          </w:tcPr>
          <w:p w14:paraId="78FEDA7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14 </w:t>
            </w:r>
          </w:p>
        </w:tc>
        <w:tc>
          <w:tcPr>
            <w:tcW w:w="0" w:type="auto"/>
            <w:tcBorders>
              <w:top w:val="nil"/>
              <w:left w:val="nil"/>
              <w:bottom w:val="single" w:sz="4" w:space="0" w:color="D3D3D3"/>
              <w:right w:val="single" w:sz="4" w:space="0" w:color="D3D3D3"/>
            </w:tcBorders>
            <w:shd w:val="clear" w:color="auto" w:fill="auto"/>
            <w:vAlign w:val="center"/>
            <w:hideMark/>
          </w:tcPr>
          <w:p w14:paraId="640EE78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6 </w:t>
            </w:r>
          </w:p>
        </w:tc>
        <w:tc>
          <w:tcPr>
            <w:tcW w:w="0" w:type="auto"/>
            <w:tcBorders>
              <w:top w:val="nil"/>
              <w:left w:val="nil"/>
              <w:bottom w:val="single" w:sz="4" w:space="0" w:color="D3D3D3"/>
              <w:right w:val="single" w:sz="4" w:space="0" w:color="D3D3D3"/>
            </w:tcBorders>
            <w:shd w:val="clear" w:color="auto" w:fill="auto"/>
            <w:vAlign w:val="center"/>
            <w:hideMark/>
          </w:tcPr>
          <w:p w14:paraId="2AD62FF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6 </w:t>
            </w:r>
          </w:p>
        </w:tc>
        <w:tc>
          <w:tcPr>
            <w:tcW w:w="0" w:type="auto"/>
            <w:tcBorders>
              <w:top w:val="nil"/>
              <w:left w:val="nil"/>
              <w:bottom w:val="single" w:sz="4" w:space="0" w:color="D3D3D3"/>
              <w:right w:val="single" w:sz="4" w:space="0" w:color="D3D3D3"/>
            </w:tcBorders>
            <w:shd w:val="clear" w:color="auto" w:fill="auto"/>
            <w:vAlign w:val="center"/>
            <w:hideMark/>
          </w:tcPr>
          <w:p w14:paraId="75FA05F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18 </w:t>
            </w:r>
          </w:p>
        </w:tc>
        <w:tc>
          <w:tcPr>
            <w:tcW w:w="0" w:type="auto"/>
            <w:tcBorders>
              <w:top w:val="nil"/>
              <w:left w:val="nil"/>
              <w:bottom w:val="single" w:sz="4" w:space="0" w:color="D3D3D3"/>
              <w:right w:val="single" w:sz="4" w:space="0" w:color="D3D3D3"/>
            </w:tcBorders>
            <w:shd w:val="clear" w:color="auto" w:fill="auto"/>
            <w:vAlign w:val="center"/>
            <w:hideMark/>
          </w:tcPr>
          <w:p w14:paraId="13C3D7A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16 </w:t>
            </w:r>
          </w:p>
        </w:tc>
        <w:tc>
          <w:tcPr>
            <w:tcW w:w="0" w:type="auto"/>
            <w:tcBorders>
              <w:top w:val="nil"/>
              <w:left w:val="nil"/>
              <w:bottom w:val="single" w:sz="4" w:space="0" w:color="D3D3D3"/>
              <w:right w:val="single" w:sz="4" w:space="0" w:color="D3D3D3"/>
            </w:tcBorders>
            <w:shd w:val="clear" w:color="auto" w:fill="auto"/>
            <w:vAlign w:val="center"/>
            <w:hideMark/>
          </w:tcPr>
          <w:p w14:paraId="5B3421E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15 </w:t>
            </w:r>
          </w:p>
        </w:tc>
        <w:tc>
          <w:tcPr>
            <w:tcW w:w="0" w:type="auto"/>
            <w:tcBorders>
              <w:top w:val="nil"/>
              <w:left w:val="nil"/>
              <w:bottom w:val="single" w:sz="4" w:space="0" w:color="D3D3D3"/>
              <w:right w:val="single" w:sz="4" w:space="0" w:color="D3D3D3"/>
            </w:tcBorders>
            <w:shd w:val="clear" w:color="auto" w:fill="auto"/>
            <w:vAlign w:val="center"/>
            <w:hideMark/>
          </w:tcPr>
          <w:p w14:paraId="7A05F37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5159CD7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7D2BE86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91 </w:t>
            </w:r>
          </w:p>
        </w:tc>
      </w:tr>
      <w:tr w:rsidR="00D25704" w:rsidRPr="002528F9" w14:paraId="6D945E59"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50B7B5F1"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St Paul</w:t>
            </w:r>
          </w:p>
        </w:tc>
        <w:tc>
          <w:tcPr>
            <w:tcW w:w="1047" w:type="dxa"/>
            <w:tcBorders>
              <w:top w:val="nil"/>
              <w:left w:val="nil"/>
              <w:bottom w:val="single" w:sz="4" w:space="0" w:color="D3D3D3"/>
              <w:right w:val="single" w:sz="4" w:space="0" w:color="D3D3D3"/>
            </w:tcBorders>
            <w:shd w:val="clear" w:color="000000" w:fill="708090"/>
            <w:hideMark/>
          </w:tcPr>
          <w:p w14:paraId="32CBC79A" w14:textId="30FC8AD2"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F</w:t>
            </w:r>
            <w:r w:rsidR="0043774F">
              <w:rPr>
                <w:rFonts w:ascii="Lato" w:eastAsia="Times New Roman" w:hAnsi="Lato" w:cs="Tahoma"/>
                <w:color w:val="FFFFFF"/>
                <w:sz w:val="18"/>
                <w:szCs w:val="18"/>
                <w:lang w:eastAsia="en-CA"/>
              </w:rPr>
              <w:t>rench Immersion</w:t>
            </w:r>
          </w:p>
        </w:tc>
        <w:tc>
          <w:tcPr>
            <w:tcW w:w="758" w:type="dxa"/>
            <w:tcBorders>
              <w:top w:val="nil"/>
              <w:left w:val="nil"/>
              <w:bottom w:val="nil"/>
              <w:right w:val="single" w:sz="4" w:space="0" w:color="D3D3D3"/>
            </w:tcBorders>
            <w:shd w:val="clear" w:color="auto" w:fill="auto"/>
            <w:vAlign w:val="center"/>
            <w:hideMark/>
          </w:tcPr>
          <w:p w14:paraId="4EB52BB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8 </w:t>
            </w:r>
          </w:p>
        </w:tc>
        <w:tc>
          <w:tcPr>
            <w:tcW w:w="539" w:type="dxa"/>
            <w:tcBorders>
              <w:top w:val="nil"/>
              <w:left w:val="nil"/>
              <w:bottom w:val="single" w:sz="4" w:space="0" w:color="D3D3D3"/>
              <w:right w:val="single" w:sz="4" w:space="0" w:color="D3D3D3"/>
            </w:tcBorders>
            <w:shd w:val="clear" w:color="auto" w:fill="auto"/>
            <w:vAlign w:val="center"/>
            <w:hideMark/>
          </w:tcPr>
          <w:p w14:paraId="175C1F3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12 </w:t>
            </w:r>
          </w:p>
        </w:tc>
        <w:tc>
          <w:tcPr>
            <w:tcW w:w="567" w:type="dxa"/>
            <w:tcBorders>
              <w:top w:val="nil"/>
              <w:left w:val="nil"/>
              <w:bottom w:val="single" w:sz="4" w:space="0" w:color="D3D3D3"/>
              <w:right w:val="single" w:sz="4" w:space="0" w:color="D3D3D3"/>
            </w:tcBorders>
            <w:shd w:val="clear" w:color="auto" w:fill="auto"/>
            <w:vAlign w:val="center"/>
            <w:hideMark/>
          </w:tcPr>
          <w:p w14:paraId="44258EB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16 </w:t>
            </w:r>
          </w:p>
        </w:tc>
        <w:tc>
          <w:tcPr>
            <w:tcW w:w="0" w:type="auto"/>
            <w:tcBorders>
              <w:top w:val="nil"/>
              <w:left w:val="nil"/>
              <w:bottom w:val="single" w:sz="4" w:space="0" w:color="D3D3D3"/>
              <w:right w:val="single" w:sz="4" w:space="0" w:color="D3D3D3"/>
            </w:tcBorders>
            <w:shd w:val="clear" w:color="auto" w:fill="auto"/>
            <w:vAlign w:val="center"/>
            <w:hideMark/>
          </w:tcPr>
          <w:p w14:paraId="6FE0DC3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18 </w:t>
            </w:r>
          </w:p>
        </w:tc>
        <w:tc>
          <w:tcPr>
            <w:tcW w:w="0" w:type="auto"/>
            <w:tcBorders>
              <w:top w:val="nil"/>
              <w:left w:val="nil"/>
              <w:bottom w:val="single" w:sz="4" w:space="0" w:color="D3D3D3"/>
              <w:right w:val="single" w:sz="4" w:space="0" w:color="D3D3D3"/>
            </w:tcBorders>
            <w:shd w:val="clear" w:color="auto" w:fill="auto"/>
            <w:vAlign w:val="center"/>
            <w:hideMark/>
          </w:tcPr>
          <w:p w14:paraId="206E279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13 </w:t>
            </w:r>
          </w:p>
        </w:tc>
        <w:tc>
          <w:tcPr>
            <w:tcW w:w="0" w:type="auto"/>
            <w:tcBorders>
              <w:top w:val="nil"/>
              <w:left w:val="nil"/>
              <w:bottom w:val="single" w:sz="4" w:space="0" w:color="D3D3D3"/>
              <w:right w:val="single" w:sz="4" w:space="0" w:color="D3D3D3"/>
            </w:tcBorders>
            <w:shd w:val="clear" w:color="auto" w:fill="auto"/>
            <w:vAlign w:val="center"/>
            <w:hideMark/>
          </w:tcPr>
          <w:p w14:paraId="3CF1A971"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22 </w:t>
            </w:r>
          </w:p>
        </w:tc>
        <w:tc>
          <w:tcPr>
            <w:tcW w:w="0" w:type="auto"/>
            <w:tcBorders>
              <w:top w:val="nil"/>
              <w:left w:val="nil"/>
              <w:bottom w:val="single" w:sz="4" w:space="0" w:color="D3D3D3"/>
              <w:right w:val="single" w:sz="4" w:space="0" w:color="D3D3D3"/>
            </w:tcBorders>
            <w:shd w:val="clear" w:color="auto" w:fill="auto"/>
            <w:vAlign w:val="center"/>
            <w:hideMark/>
          </w:tcPr>
          <w:p w14:paraId="1DFE28DF"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9 </w:t>
            </w:r>
          </w:p>
        </w:tc>
        <w:tc>
          <w:tcPr>
            <w:tcW w:w="0" w:type="auto"/>
            <w:tcBorders>
              <w:top w:val="nil"/>
              <w:left w:val="nil"/>
              <w:bottom w:val="single" w:sz="4" w:space="0" w:color="D3D3D3"/>
              <w:right w:val="single" w:sz="4" w:space="0" w:color="D3D3D3"/>
            </w:tcBorders>
            <w:shd w:val="clear" w:color="auto" w:fill="auto"/>
            <w:vAlign w:val="center"/>
            <w:hideMark/>
          </w:tcPr>
          <w:p w14:paraId="3A72BE2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20 </w:t>
            </w:r>
          </w:p>
        </w:tc>
        <w:tc>
          <w:tcPr>
            <w:tcW w:w="0" w:type="auto"/>
            <w:tcBorders>
              <w:top w:val="nil"/>
              <w:left w:val="nil"/>
              <w:bottom w:val="single" w:sz="4" w:space="0" w:color="D3D3D3"/>
              <w:right w:val="single" w:sz="4" w:space="0" w:color="D3D3D3"/>
            </w:tcBorders>
            <w:shd w:val="clear" w:color="auto" w:fill="auto"/>
            <w:vAlign w:val="center"/>
            <w:hideMark/>
          </w:tcPr>
          <w:p w14:paraId="5EF6323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nil"/>
              <w:left w:val="nil"/>
              <w:bottom w:val="single" w:sz="4" w:space="0" w:color="D3D3D3"/>
              <w:right w:val="single" w:sz="4" w:space="0" w:color="D3D3D3"/>
            </w:tcBorders>
            <w:shd w:val="clear" w:color="auto" w:fill="auto"/>
            <w:vAlign w:val="center"/>
            <w:hideMark/>
          </w:tcPr>
          <w:p w14:paraId="25F1437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nil"/>
              <w:left w:val="nil"/>
              <w:bottom w:val="single" w:sz="4" w:space="0" w:color="D3D3D3"/>
              <w:right w:val="single" w:sz="4" w:space="0" w:color="D3D3D3"/>
            </w:tcBorders>
            <w:shd w:val="clear" w:color="auto" w:fill="auto"/>
            <w:vAlign w:val="center"/>
            <w:hideMark/>
          </w:tcPr>
          <w:p w14:paraId="33B6241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118 </w:t>
            </w:r>
          </w:p>
        </w:tc>
      </w:tr>
      <w:tr w:rsidR="00D25704" w:rsidRPr="002528F9" w14:paraId="4E9ADFA1"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6FF47929"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10D90B6A"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single" w:sz="4" w:space="0" w:color="auto"/>
              <w:left w:val="nil"/>
              <w:bottom w:val="single" w:sz="4" w:space="0" w:color="auto"/>
              <w:right w:val="single" w:sz="4" w:space="0" w:color="D3D3D3"/>
            </w:tcBorders>
            <w:shd w:val="clear" w:color="auto" w:fill="auto"/>
            <w:vAlign w:val="center"/>
            <w:hideMark/>
          </w:tcPr>
          <w:p w14:paraId="71979C2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18 </w:t>
            </w:r>
          </w:p>
        </w:tc>
        <w:tc>
          <w:tcPr>
            <w:tcW w:w="539" w:type="dxa"/>
            <w:tcBorders>
              <w:top w:val="single" w:sz="4" w:space="0" w:color="auto"/>
              <w:left w:val="nil"/>
              <w:bottom w:val="single" w:sz="4" w:space="0" w:color="auto"/>
              <w:right w:val="single" w:sz="4" w:space="0" w:color="D3D3D3"/>
            </w:tcBorders>
            <w:shd w:val="clear" w:color="auto" w:fill="auto"/>
            <w:vAlign w:val="center"/>
            <w:hideMark/>
          </w:tcPr>
          <w:p w14:paraId="604F4CCD"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18 </w:t>
            </w:r>
          </w:p>
        </w:tc>
        <w:tc>
          <w:tcPr>
            <w:tcW w:w="567" w:type="dxa"/>
            <w:tcBorders>
              <w:top w:val="single" w:sz="4" w:space="0" w:color="auto"/>
              <w:left w:val="nil"/>
              <w:bottom w:val="single" w:sz="4" w:space="0" w:color="auto"/>
              <w:right w:val="single" w:sz="4" w:space="0" w:color="D3D3D3"/>
            </w:tcBorders>
            <w:shd w:val="clear" w:color="auto" w:fill="auto"/>
            <w:vAlign w:val="center"/>
            <w:hideMark/>
          </w:tcPr>
          <w:p w14:paraId="5D42486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52DFD7B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24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7063EBA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19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4453A9B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40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58A3126B"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25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0306888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35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2CAFC3D0"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0" w:type="auto"/>
            <w:tcBorders>
              <w:top w:val="single" w:sz="4" w:space="0" w:color="auto"/>
              <w:left w:val="nil"/>
              <w:bottom w:val="single" w:sz="4" w:space="0" w:color="auto"/>
              <w:right w:val="single" w:sz="4" w:space="0" w:color="D3D3D3"/>
            </w:tcBorders>
            <w:shd w:val="clear" w:color="auto" w:fill="auto"/>
            <w:vAlign w:val="center"/>
            <w:hideMark/>
          </w:tcPr>
          <w:p w14:paraId="6DF7BB3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0 </w:t>
            </w:r>
          </w:p>
        </w:tc>
        <w:tc>
          <w:tcPr>
            <w:tcW w:w="762" w:type="dxa"/>
            <w:tcBorders>
              <w:top w:val="single" w:sz="4" w:space="0" w:color="auto"/>
              <w:left w:val="nil"/>
              <w:bottom w:val="single" w:sz="4" w:space="0" w:color="auto"/>
              <w:right w:val="single" w:sz="4" w:space="0" w:color="D3D3D3"/>
            </w:tcBorders>
            <w:shd w:val="clear" w:color="auto" w:fill="auto"/>
            <w:vAlign w:val="center"/>
            <w:hideMark/>
          </w:tcPr>
          <w:p w14:paraId="53D5DD62"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xml:space="preserve">209 </w:t>
            </w:r>
          </w:p>
        </w:tc>
      </w:tr>
      <w:tr w:rsidR="00D25704" w:rsidRPr="002528F9" w14:paraId="335A8CA3" w14:textId="77777777" w:rsidTr="00AD0D88">
        <w:trPr>
          <w:trHeight w:val="300"/>
        </w:trPr>
        <w:tc>
          <w:tcPr>
            <w:tcW w:w="2423" w:type="dxa"/>
            <w:tcBorders>
              <w:top w:val="nil"/>
              <w:left w:val="single" w:sz="4" w:space="0" w:color="D3D3D3"/>
              <w:bottom w:val="single" w:sz="4" w:space="0" w:color="D3D3D3"/>
              <w:right w:val="single" w:sz="4" w:space="0" w:color="D3D3D3"/>
            </w:tcBorders>
            <w:shd w:val="clear" w:color="000000" w:fill="6E9ECA"/>
            <w:hideMark/>
          </w:tcPr>
          <w:p w14:paraId="2681F3F7"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1047" w:type="dxa"/>
            <w:tcBorders>
              <w:top w:val="nil"/>
              <w:left w:val="nil"/>
              <w:bottom w:val="single" w:sz="4" w:space="0" w:color="D3D3D3"/>
              <w:right w:val="single" w:sz="4" w:space="0" w:color="D3D3D3"/>
            </w:tcBorders>
            <w:shd w:val="clear" w:color="000000" w:fill="708090"/>
            <w:hideMark/>
          </w:tcPr>
          <w:p w14:paraId="6279015A" w14:textId="77777777" w:rsidR="002528F9" w:rsidRPr="002528F9" w:rsidRDefault="002528F9" w:rsidP="002528F9">
            <w:pPr>
              <w:spacing w:after="0" w:line="240" w:lineRule="auto"/>
              <w:rPr>
                <w:rFonts w:ascii="Lato" w:eastAsia="Times New Roman" w:hAnsi="Lato" w:cs="Tahoma"/>
                <w:color w:val="FFFFFF"/>
                <w:sz w:val="18"/>
                <w:szCs w:val="18"/>
                <w:lang w:eastAsia="en-CA"/>
              </w:rPr>
            </w:pPr>
            <w:r w:rsidRPr="002528F9">
              <w:rPr>
                <w:rFonts w:ascii="Lato" w:eastAsia="Times New Roman" w:hAnsi="Lato" w:cs="Tahoma"/>
                <w:color w:val="FFFFFF"/>
                <w:sz w:val="18"/>
                <w:szCs w:val="18"/>
                <w:lang w:eastAsia="en-CA"/>
              </w:rPr>
              <w:t> </w:t>
            </w:r>
          </w:p>
        </w:tc>
        <w:tc>
          <w:tcPr>
            <w:tcW w:w="758" w:type="dxa"/>
            <w:tcBorders>
              <w:top w:val="nil"/>
              <w:left w:val="nil"/>
              <w:bottom w:val="single" w:sz="4" w:space="0" w:color="D3D3D3"/>
              <w:right w:val="single" w:sz="4" w:space="0" w:color="D3D3D3"/>
            </w:tcBorders>
            <w:shd w:val="clear" w:color="auto" w:fill="auto"/>
            <w:vAlign w:val="center"/>
            <w:hideMark/>
          </w:tcPr>
          <w:p w14:paraId="5735C37E"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39" w:type="dxa"/>
            <w:tcBorders>
              <w:top w:val="single" w:sz="4" w:space="0" w:color="D3D3D3"/>
              <w:left w:val="nil"/>
              <w:bottom w:val="single" w:sz="4" w:space="0" w:color="D3D3D3"/>
              <w:right w:val="single" w:sz="4" w:space="0" w:color="D3D3D3"/>
            </w:tcBorders>
            <w:shd w:val="clear" w:color="auto" w:fill="auto"/>
            <w:vAlign w:val="center"/>
            <w:hideMark/>
          </w:tcPr>
          <w:p w14:paraId="4499A4E5"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567" w:type="dxa"/>
            <w:tcBorders>
              <w:top w:val="single" w:sz="4" w:space="0" w:color="D3D3D3"/>
              <w:left w:val="nil"/>
              <w:bottom w:val="single" w:sz="4" w:space="0" w:color="D3D3D3"/>
              <w:right w:val="single" w:sz="4" w:space="0" w:color="D3D3D3"/>
            </w:tcBorders>
            <w:shd w:val="clear" w:color="auto" w:fill="auto"/>
            <w:vAlign w:val="center"/>
            <w:hideMark/>
          </w:tcPr>
          <w:p w14:paraId="5557C327"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22E68078"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7FDB322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171F71E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2C61C19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3D4CEF23"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4B7EE26A"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5DC0C809"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c>
          <w:tcPr>
            <w:tcW w:w="762" w:type="dxa"/>
            <w:tcBorders>
              <w:top w:val="single" w:sz="4" w:space="0" w:color="D3D3D3"/>
              <w:left w:val="nil"/>
              <w:bottom w:val="single" w:sz="4" w:space="0" w:color="D3D3D3"/>
              <w:right w:val="single" w:sz="4" w:space="0" w:color="D3D3D3"/>
            </w:tcBorders>
            <w:shd w:val="clear" w:color="auto" w:fill="auto"/>
            <w:vAlign w:val="center"/>
            <w:hideMark/>
          </w:tcPr>
          <w:p w14:paraId="47C6DEB4" w14:textId="77777777" w:rsidR="002528F9" w:rsidRPr="002528F9" w:rsidRDefault="002528F9" w:rsidP="002528F9">
            <w:pPr>
              <w:spacing w:after="0" w:line="240" w:lineRule="auto"/>
              <w:jc w:val="center"/>
              <w:rPr>
                <w:rFonts w:ascii="Lato" w:eastAsia="Times New Roman" w:hAnsi="Lato" w:cs="Tahoma"/>
                <w:sz w:val="18"/>
                <w:szCs w:val="18"/>
                <w:lang w:eastAsia="en-CA"/>
              </w:rPr>
            </w:pPr>
            <w:r w:rsidRPr="002528F9">
              <w:rPr>
                <w:rFonts w:ascii="Lato" w:eastAsia="Times New Roman" w:hAnsi="Lato" w:cs="Tahoma"/>
                <w:sz w:val="18"/>
                <w:szCs w:val="18"/>
                <w:lang w:eastAsia="en-CA"/>
              </w:rPr>
              <w:t> </w:t>
            </w:r>
          </w:p>
        </w:tc>
      </w:tr>
      <w:tr w:rsidR="004A622C" w:rsidRPr="002528F9" w14:paraId="0CB9D8D7" w14:textId="77777777" w:rsidTr="00AD0D88">
        <w:trPr>
          <w:trHeight w:val="255"/>
        </w:trPr>
        <w:tc>
          <w:tcPr>
            <w:tcW w:w="2423" w:type="dxa"/>
            <w:tcBorders>
              <w:top w:val="nil"/>
              <w:left w:val="nil"/>
              <w:bottom w:val="nil"/>
              <w:right w:val="nil"/>
            </w:tcBorders>
            <w:shd w:val="clear" w:color="auto" w:fill="auto"/>
            <w:noWrap/>
            <w:vAlign w:val="bottom"/>
            <w:hideMark/>
          </w:tcPr>
          <w:p w14:paraId="33D21C9C" w14:textId="77777777" w:rsidR="002528F9" w:rsidRPr="002528F9" w:rsidRDefault="002528F9" w:rsidP="002528F9">
            <w:pPr>
              <w:spacing w:after="0" w:line="240" w:lineRule="auto"/>
              <w:jc w:val="center"/>
              <w:rPr>
                <w:rFonts w:ascii="Lato" w:eastAsia="Times New Roman" w:hAnsi="Lato" w:cs="Tahoma"/>
                <w:sz w:val="18"/>
                <w:szCs w:val="18"/>
                <w:lang w:eastAsia="en-CA"/>
              </w:rPr>
            </w:pPr>
          </w:p>
        </w:tc>
        <w:tc>
          <w:tcPr>
            <w:tcW w:w="1047" w:type="dxa"/>
            <w:tcBorders>
              <w:top w:val="nil"/>
              <w:left w:val="nil"/>
              <w:bottom w:val="nil"/>
              <w:right w:val="nil"/>
            </w:tcBorders>
            <w:shd w:val="clear" w:color="auto" w:fill="auto"/>
            <w:noWrap/>
            <w:vAlign w:val="bottom"/>
            <w:hideMark/>
          </w:tcPr>
          <w:p w14:paraId="1EA06CE2" w14:textId="114B48AC" w:rsidR="00A1745E" w:rsidRPr="002528F9" w:rsidRDefault="00A1745E" w:rsidP="002528F9">
            <w:pPr>
              <w:spacing w:after="0" w:line="240" w:lineRule="auto"/>
              <w:rPr>
                <w:rFonts w:ascii="Times New Roman" w:eastAsia="Times New Roman" w:hAnsi="Times New Roman" w:cs="Times New Roman"/>
                <w:sz w:val="20"/>
                <w:szCs w:val="20"/>
                <w:lang w:eastAsia="en-CA"/>
              </w:rPr>
            </w:pPr>
          </w:p>
        </w:tc>
        <w:tc>
          <w:tcPr>
            <w:tcW w:w="758" w:type="dxa"/>
            <w:tcBorders>
              <w:top w:val="nil"/>
              <w:left w:val="nil"/>
              <w:bottom w:val="nil"/>
              <w:right w:val="nil"/>
            </w:tcBorders>
            <w:shd w:val="clear" w:color="auto" w:fill="auto"/>
            <w:noWrap/>
            <w:vAlign w:val="bottom"/>
            <w:hideMark/>
          </w:tcPr>
          <w:p w14:paraId="0B7DD646" w14:textId="77777777" w:rsidR="002528F9" w:rsidRPr="002528F9" w:rsidRDefault="002528F9" w:rsidP="002528F9">
            <w:pPr>
              <w:spacing w:after="0" w:line="240" w:lineRule="auto"/>
              <w:rPr>
                <w:rFonts w:ascii="Times New Roman" w:eastAsia="Times New Roman" w:hAnsi="Times New Roman" w:cs="Times New Roman"/>
                <w:sz w:val="20"/>
                <w:szCs w:val="20"/>
                <w:lang w:eastAsia="en-CA"/>
              </w:rPr>
            </w:pPr>
          </w:p>
        </w:tc>
        <w:tc>
          <w:tcPr>
            <w:tcW w:w="539" w:type="dxa"/>
            <w:tcBorders>
              <w:top w:val="nil"/>
              <w:left w:val="nil"/>
              <w:bottom w:val="nil"/>
              <w:right w:val="nil"/>
            </w:tcBorders>
            <w:shd w:val="clear" w:color="auto" w:fill="auto"/>
            <w:noWrap/>
            <w:vAlign w:val="bottom"/>
            <w:hideMark/>
          </w:tcPr>
          <w:p w14:paraId="7591E96F" w14:textId="77777777" w:rsidR="002528F9" w:rsidRPr="002528F9" w:rsidRDefault="002528F9" w:rsidP="002528F9">
            <w:pPr>
              <w:spacing w:after="0" w:line="240" w:lineRule="auto"/>
              <w:rPr>
                <w:rFonts w:ascii="Times New Roman" w:eastAsia="Times New Roman" w:hAnsi="Times New Roman" w:cs="Times New Roman"/>
                <w:sz w:val="20"/>
                <w:szCs w:val="20"/>
                <w:lang w:eastAsia="en-CA"/>
              </w:rPr>
            </w:pPr>
          </w:p>
        </w:tc>
        <w:tc>
          <w:tcPr>
            <w:tcW w:w="567" w:type="dxa"/>
            <w:tcBorders>
              <w:top w:val="nil"/>
              <w:left w:val="nil"/>
              <w:bottom w:val="nil"/>
              <w:right w:val="nil"/>
            </w:tcBorders>
            <w:shd w:val="clear" w:color="auto" w:fill="auto"/>
            <w:noWrap/>
            <w:vAlign w:val="bottom"/>
            <w:hideMark/>
          </w:tcPr>
          <w:p w14:paraId="79B53564" w14:textId="77777777" w:rsidR="002528F9" w:rsidRPr="002528F9" w:rsidRDefault="002528F9" w:rsidP="002528F9">
            <w:pPr>
              <w:spacing w:after="0" w:line="240" w:lineRule="auto"/>
              <w:rPr>
                <w:rFonts w:ascii="Times New Roman" w:eastAsia="Times New Roman" w:hAnsi="Times New Roman" w:cs="Times New Roman"/>
                <w:sz w:val="20"/>
                <w:szCs w:val="20"/>
                <w:lang w:eastAsia="en-CA"/>
              </w:rPr>
            </w:pPr>
          </w:p>
        </w:tc>
        <w:tc>
          <w:tcPr>
            <w:tcW w:w="0" w:type="auto"/>
            <w:tcBorders>
              <w:top w:val="nil"/>
              <w:left w:val="nil"/>
              <w:bottom w:val="nil"/>
              <w:right w:val="nil"/>
            </w:tcBorders>
            <w:shd w:val="clear" w:color="auto" w:fill="auto"/>
            <w:noWrap/>
            <w:vAlign w:val="bottom"/>
            <w:hideMark/>
          </w:tcPr>
          <w:p w14:paraId="37CE3716" w14:textId="77777777" w:rsidR="002528F9" w:rsidRPr="002528F9" w:rsidRDefault="002528F9" w:rsidP="002528F9">
            <w:pPr>
              <w:spacing w:after="0" w:line="240" w:lineRule="auto"/>
              <w:rPr>
                <w:rFonts w:ascii="Times New Roman" w:eastAsia="Times New Roman" w:hAnsi="Times New Roman" w:cs="Times New Roman"/>
                <w:sz w:val="20"/>
                <w:szCs w:val="20"/>
                <w:lang w:eastAsia="en-CA"/>
              </w:rPr>
            </w:pPr>
          </w:p>
        </w:tc>
        <w:tc>
          <w:tcPr>
            <w:tcW w:w="0" w:type="auto"/>
            <w:tcBorders>
              <w:top w:val="nil"/>
              <w:left w:val="nil"/>
              <w:bottom w:val="nil"/>
              <w:right w:val="nil"/>
            </w:tcBorders>
            <w:shd w:val="clear" w:color="auto" w:fill="auto"/>
            <w:noWrap/>
            <w:vAlign w:val="bottom"/>
            <w:hideMark/>
          </w:tcPr>
          <w:p w14:paraId="7D242746" w14:textId="77777777" w:rsidR="002528F9" w:rsidRPr="002528F9" w:rsidRDefault="002528F9" w:rsidP="002528F9">
            <w:pPr>
              <w:spacing w:after="0" w:line="240" w:lineRule="auto"/>
              <w:rPr>
                <w:rFonts w:ascii="Times New Roman" w:eastAsia="Times New Roman" w:hAnsi="Times New Roman" w:cs="Times New Roman"/>
                <w:sz w:val="20"/>
                <w:szCs w:val="20"/>
                <w:lang w:eastAsia="en-CA"/>
              </w:rPr>
            </w:pPr>
          </w:p>
        </w:tc>
        <w:tc>
          <w:tcPr>
            <w:tcW w:w="0" w:type="auto"/>
            <w:tcBorders>
              <w:top w:val="nil"/>
              <w:left w:val="nil"/>
              <w:bottom w:val="nil"/>
              <w:right w:val="nil"/>
            </w:tcBorders>
            <w:shd w:val="clear" w:color="auto" w:fill="auto"/>
            <w:noWrap/>
            <w:vAlign w:val="bottom"/>
            <w:hideMark/>
          </w:tcPr>
          <w:p w14:paraId="6F0391ED" w14:textId="77777777" w:rsidR="002528F9" w:rsidRPr="002528F9" w:rsidRDefault="002528F9" w:rsidP="002528F9">
            <w:pPr>
              <w:spacing w:after="0" w:line="240" w:lineRule="auto"/>
              <w:rPr>
                <w:rFonts w:ascii="Times New Roman" w:eastAsia="Times New Roman" w:hAnsi="Times New Roman" w:cs="Times New Roman"/>
                <w:sz w:val="20"/>
                <w:szCs w:val="20"/>
                <w:lang w:eastAsia="en-CA"/>
              </w:rPr>
            </w:pPr>
          </w:p>
        </w:tc>
        <w:tc>
          <w:tcPr>
            <w:tcW w:w="0" w:type="auto"/>
            <w:tcBorders>
              <w:top w:val="nil"/>
              <w:left w:val="nil"/>
              <w:bottom w:val="nil"/>
              <w:right w:val="nil"/>
            </w:tcBorders>
            <w:shd w:val="clear" w:color="auto" w:fill="auto"/>
            <w:noWrap/>
            <w:vAlign w:val="bottom"/>
            <w:hideMark/>
          </w:tcPr>
          <w:p w14:paraId="770227B5" w14:textId="77777777" w:rsidR="002528F9" w:rsidRPr="002528F9" w:rsidRDefault="002528F9" w:rsidP="002528F9">
            <w:pPr>
              <w:spacing w:after="0" w:line="240" w:lineRule="auto"/>
              <w:rPr>
                <w:rFonts w:ascii="Times New Roman" w:eastAsia="Times New Roman" w:hAnsi="Times New Roman" w:cs="Times New Roman"/>
                <w:sz w:val="20"/>
                <w:szCs w:val="20"/>
                <w:lang w:eastAsia="en-CA"/>
              </w:rPr>
            </w:pPr>
          </w:p>
        </w:tc>
        <w:tc>
          <w:tcPr>
            <w:tcW w:w="0" w:type="auto"/>
            <w:tcBorders>
              <w:top w:val="nil"/>
              <w:left w:val="nil"/>
              <w:bottom w:val="nil"/>
              <w:right w:val="nil"/>
            </w:tcBorders>
            <w:shd w:val="clear" w:color="auto" w:fill="auto"/>
            <w:noWrap/>
            <w:vAlign w:val="bottom"/>
            <w:hideMark/>
          </w:tcPr>
          <w:p w14:paraId="28BA3946" w14:textId="77777777" w:rsidR="002528F9" w:rsidRPr="002528F9" w:rsidRDefault="002528F9" w:rsidP="002528F9">
            <w:pPr>
              <w:spacing w:after="0" w:line="240" w:lineRule="auto"/>
              <w:rPr>
                <w:rFonts w:ascii="Times New Roman" w:eastAsia="Times New Roman" w:hAnsi="Times New Roman" w:cs="Times New Roman"/>
                <w:sz w:val="20"/>
                <w:szCs w:val="20"/>
                <w:lang w:eastAsia="en-CA"/>
              </w:rPr>
            </w:pPr>
          </w:p>
        </w:tc>
        <w:tc>
          <w:tcPr>
            <w:tcW w:w="0" w:type="auto"/>
            <w:tcBorders>
              <w:top w:val="nil"/>
              <w:left w:val="nil"/>
              <w:bottom w:val="nil"/>
              <w:right w:val="nil"/>
            </w:tcBorders>
            <w:shd w:val="clear" w:color="auto" w:fill="auto"/>
            <w:noWrap/>
            <w:vAlign w:val="bottom"/>
            <w:hideMark/>
          </w:tcPr>
          <w:p w14:paraId="0B340946" w14:textId="77777777" w:rsidR="002528F9" w:rsidRPr="002528F9" w:rsidRDefault="002528F9" w:rsidP="002528F9">
            <w:pPr>
              <w:spacing w:after="0" w:line="240" w:lineRule="auto"/>
              <w:rPr>
                <w:rFonts w:ascii="Times New Roman" w:eastAsia="Times New Roman" w:hAnsi="Times New Roman" w:cs="Times New Roman"/>
                <w:sz w:val="20"/>
                <w:szCs w:val="20"/>
                <w:lang w:eastAsia="en-CA"/>
              </w:rPr>
            </w:pPr>
          </w:p>
        </w:tc>
        <w:tc>
          <w:tcPr>
            <w:tcW w:w="0" w:type="auto"/>
            <w:tcBorders>
              <w:top w:val="nil"/>
              <w:left w:val="nil"/>
              <w:bottom w:val="nil"/>
              <w:right w:val="nil"/>
            </w:tcBorders>
            <w:shd w:val="clear" w:color="auto" w:fill="auto"/>
            <w:noWrap/>
            <w:vAlign w:val="bottom"/>
            <w:hideMark/>
          </w:tcPr>
          <w:p w14:paraId="665489E9" w14:textId="77777777" w:rsidR="002528F9" w:rsidRPr="002528F9" w:rsidRDefault="002528F9" w:rsidP="002528F9">
            <w:pPr>
              <w:spacing w:after="0" w:line="240" w:lineRule="auto"/>
              <w:rPr>
                <w:rFonts w:ascii="Times New Roman" w:eastAsia="Times New Roman" w:hAnsi="Times New Roman" w:cs="Times New Roman"/>
                <w:sz w:val="20"/>
                <w:szCs w:val="20"/>
                <w:lang w:eastAsia="en-CA"/>
              </w:rPr>
            </w:pPr>
          </w:p>
        </w:tc>
        <w:tc>
          <w:tcPr>
            <w:tcW w:w="762" w:type="dxa"/>
            <w:tcBorders>
              <w:top w:val="nil"/>
              <w:left w:val="nil"/>
              <w:bottom w:val="nil"/>
              <w:right w:val="nil"/>
            </w:tcBorders>
            <w:shd w:val="clear" w:color="auto" w:fill="auto"/>
            <w:noWrap/>
            <w:vAlign w:val="bottom"/>
            <w:hideMark/>
          </w:tcPr>
          <w:p w14:paraId="543B946C" w14:textId="77777777" w:rsidR="002528F9" w:rsidRPr="002528F9" w:rsidRDefault="002528F9" w:rsidP="002528F9">
            <w:pPr>
              <w:spacing w:after="0" w:line="240" w:lineRule="auto"/>
              <w:rPr>
                <w:rFonts w:ascii="Times New Roman" w:eastAsia="Times New Roman" w:hAnsi="Times New Roman" w:cs="Times New Roman"/>
                <w:sz w:val="20"/>
                <w:szCs w:val="20"/>
                <w:lang w:eastAsia="en-CA"/>
              </w:rPr>
            </w:pPr>
          </w:p>
        </w:tc>
      </w:tr>
      <w:tr w:rsidR="00A1745E" w:rsidRPr="002528F9" w14:paraId="5F56EC5C" w14:textId="77777777" w:rsidTr="00AD0D88">
        <w:trPr>
          <w:trHeight w:val="255"/>
        </w:trPr>
        <w:tc>
          <w:tcPr>
            <w:tcW w:w="2423" w:type="dxa"/>
            <w:tcBorders>
              <w:top w:val="nil"/>
              <w:left w:val="nil"/>
              <w:bottom w:val="nil"/>
              <w:right w:val="nil"/>
            </w:tcBorders>
            <w:shd w:val="clear" w:color="auto" w:fill="auto"/>
            <w:noWrap/>
            <w:vAlign w:val="bottom"/>
            <w:hideMark/>
          </w:tcPr>
          <w:p w14:paraId="50C06F45" w14:textId="77777777" w:rsidR="002528F9" w:rsidRPr="002528F9" w:rsidRDefault="002528F9" w:rsidP="002528F9">
            <w:pPr>
              <w:spacing w:after="0" w:line="240" w:lineRule="auto"/>
              <w:rPr>
                <w:rFonts w:ascii="Times New Roman" w:eastAsia="Times New Roman" w:hAnsi="Times New Roman" w:cs="Times New Roman"/>
                <w:sz w:val="20"/>
                <w:szCs w:val="20"/>
                <w:lang w:eastAsia="en-CA"/>
              </w:rPr>
            </w:pPr>
          </w:p>
        </w:tc>
        <w:tc>
          <w:tcPr>
            <w:tcW w:w="1047" w:type="dxa"/>
            <w:tcBorders>
              <w:top w:val="nil"/>
              <w:left w:val="nil"/>
              <w:bottom w:val="nil"/>
              <w:right w:val="nil"/>
            </w:tcBorders>
            <w:shd w:val="clear" w:color="auto" w:fill="auto"/>
            <w:noWrap/>
            <w:vAlign w:val="bottom"/>
            <w:hideMark/>
          </w:tcPr>
          <w:p w14:paraId="14A63790" w14:textId="339EFC6E" w:rsidR="002528F9" w:rsidRDefault="00A1745E" w:rsidP="002528F9">
            <w:pPr>
              <w:spacing w:after="0" w:line="240" w:lineRule="auto"/>
              <w:rPr>
                <w:rFonts w:ascii="Times New Roman" w:eastAsia="Times New Roman" w:hAnsi="Times New Roman" w:cs="Times New Roman"/>
                <w:sz w:val="20"/>
                <w:szCs w:val="20"/>
                <w:lang w:eastAsia="en-CA"/>
              </w:rPr>
            </w:pPr>
            <w:r>
              <w:rPr>
                <w:rFonts w:ascii="Lato" w:eastAsia="Times New Roman" w:hAnsi="Lato" w:cs="Tahoma"/>
                <w:sz w:val="16"/>
                <w:szCs w:val="16"/>
                <w:lang w:eastAsia="en-CA"/>
              </w:rPr>
              <w:t>Totals</w:t>
            </w:r>
          </w:p>
          <w:p w14:paraId="017988A1" w14:textId="71E2AB99" w:rsidR="00A1745E" w:rsidRPr="002528F9" w:rsidRDefault="00A1745E" w:rsidP="002528F9">
            <w:pPr>
              <w:spacing w:after="0" w:line="240" w:lineRule="auto"/>
              <w:rPr>
                <w:rFonts w:ascii="Times New Roman" w:eastAsia="Times New Roman" w:hAnsi="Times New Roman" w:cs="Times New Roman"/>
                <w:sz w:val="20"/>
                <w:szCs w:val="20"/>
                <w:lang w:eastAsia="en-CA"/>
              </w:rPr>
            </w:pPr>
          </w:p>
        </w:tc>
        <w:tc>
          <w:tcPr>
            <w:tcW w:w="758" w:type="dxa"/>
            <w:tcBorders>
              <w:top w:val="single" w:sz="4" w:space="0" w:color="D3D3D3"/>
              <w:left w:val="single" w:sz="4" w:space="0" w:color="D3D3D3"/>
              <w:bottom w:val="single" w:sz="4" w:space="0" w:color="D3D3D3"/>
              <w:right w:val="single" w:sz="4" w:space="0" w:color="D3D3D3"/>
            </w:tcBorders>
            <w:shd w:val="clear" w:color="000000" w:fill="6E9ECA"/>
            <w:hideMark/>
          </w:tcPr>
          <w:p w14:paraId="2E7B44CF"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JK</w:t>
            </w:r>
          </w:p>
        </w:tc>
        <w:tc>
          <w:tcPr>
            <w:tcW w:w="539" w:type="dxa"/>
            <w:tcBorders>
              <w:top w:val="single" w:sz="4" w:space="0" w:color="D3D3D3"/>
              <w:left w:val="nil"/>
              <w:bottom w:val="single" w:sz="4" w:space="0" w:color="D3D3D3"/>
              <w:right w:val="single" w:sz="4" w:space="0" w:color="D3D3D3"/>
            </w:tcBorders>
            <w:shd w:val="clear" w:color="000000" w:fill="6E9ECA"/>
            <w:hideMark/>
          </w:tcPr>
          <w:p w14:paraId="4A0B7525"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SK</w:t>
            </w:r>
          </w:p>
        </w:tc>
        <w:tc>
          <w:tcPr>
            <w:tcW w:w="567" w:type="dxa"/>
            <w:tcBorders>
              <w:top w:val="single" w:sz="4" w:space="0" w:color="D3D3D3"/>
              <w:left w:val="nil"/>
              <w:bottom w:val="single" w:sz="4" w:space="0" w:color="D3D3D3"/>
              <w:right w:val="single" w:sz="4" w:space="0" w:color="D3D3D3"/>
            </w:tcBorders>
            <w:shd w:val="clear" w:color="000000" w:fill="6E9ECA"/>
            <w:hideMark/>
          </w:tcPr>
          <w:p w14:paraId="3499D768"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01</w:t>
            </w:r>
          </w:p>
        </w:tc>
        <w:tc>
          <w:tcPr>
            <w:tcW w:w="0" w:type="auto"/>
            <w:tcBorders>
              <w:top w:val="single" w:sz="4" w:space="0" w:color="D3D3D3"/>
              <w:left w:val="nil"/>
              <w:bottom w:val="single" w:sz="4" w:space="0" w:color="D3D3D3"/>
              <w:right w:val="single" w:sz="4" w:space="0" w:color="D3D3D3"/>
            </w:tcBorders>
            <w:shd w:val="clear" w:color="000000" w:fill="6E9ECA"/>
            <w:hideMark/>
          </w:tcPr>
          <w:p w14:paraId="0CE9938A"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02</w:t>
            </w:r>
          </w:p>
        </w:tc>
        <w:tc>
          <w:tcPr>
            <w:tcW w:w="0" w:type="auto"/>
            <w:tcBorders>
              <w:top w:val="single" w:sz="4" w:space="0" w:color="D3D3D3"/>
              <w:left w:val="nil"/>
              <w:bottom w:val="single" w:sz="4" w:space="0" w:color="D3D3D3"/>
              <w:right w:val="single" w:sz="4" w:space="0" w:color="D3D3D3"/>
            </w:tcBorders>
            <w:shd w:val="clear" w:color="000000" w:fill="6E9ECA"/>
            <w:hideMark/>
          </w:tcPr>
          <w:p w14:paraId="77CDD80A"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03</w:t>
            </w:r>
          </w:p>
        </w:tc>
        <w:tc>
          <w:tcPr>
            <w:tcW w:w="0" w:type="auto"/>
            <w:tcBorders>
              <w:top w:val="single" w:sz="4" w:space="0" w:color="D3D3D3"/>
              <w:left w:val="nil"/>
              <w:bottom w:val="single" w:sz="4" w:space="0" w:color="D3D3D3"/>
              <w:right w:val="single" w:sz="4" w:space="0" w:color="D3D3D3"/>
            </w:tcBorders>
            <w:shd w:val="clear" w:color="000000" w:fill="6E9ECA"/>
            <w:hideMark/>
          </w:tcPr>
          <w:p w14:paraId="2EE5FFB4"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04</w:t>
            </w:r>
          </w:p>
        </w:tc>
        <w:tc>
          <w:tcPr>
            <w:tcW w:w="0" w:type="auto"/>
            <w:tcBorders>
              <w:top w:val="single" w:sz="4" w:space="0" w:color="D3D3D3"/>
              <w:left w:val="nil"/>
              <w:bottom w:val="single" w:sz="4" w:space="0" w:color="D3D3D3"/>
              <w:right w:val="single" w:sz="4" w:space="0" w:color="D3D3D3"/>
            </w:tcBorders>
            <w:shd w:val="clear" w:color="000000" w:fill="6E9ECA"/>
            <w:hideMark/>
          </w:tcPr>
          <w:p w14:paraId="488F70D6"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05</w:t>
            </w:r>
          </w:p>
        </w:tc>
        <w:tc>
          <w:tcPr>
            <w:tcW w:w="0" w:type="auto"/>
            <w:tcBorders>
              <w:top w:val="single" w:sz="4" w:space="0" w:color="D3D3D3"/>
              <w:left w:val="nil"/>
              <w:bottom w:val="single" w:sz="4" w:space="0" w:color="D3D3D3"/>
              <w:right w:val="single" w:sz="4" w:space="0" w:color="D3D3D3"/>
            </w:tcBorders>
            <w:shd w:val="clear" w:color="000000" w:fill="6E9ECA"/>
            <w:hideMark/>
          </w:tcPr>
          <w:p w14:paraId="41E8906B"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06</w:t>
            </w:r>
          </w:p>
        </w:tc>
        <w:tc>
          <w:tcPr>
            <w:tcW w:w="0" w:type="auto"/>
            <w:tcBorders>
              <w:top w:val="single" w:sz="4" w:space="0" w:color="D3D3D3"/>
              <w:left w:val="nil"/>
              <w:bottom w:val="single" w:sz="4" w:space="0" w:color="D3D3D3"/>
              <w:right w:val="single" w:sz="4" w:space="0" w:color="D3D3D3"/>
            </w:tcBorders>
            <w:shd w:val="clear" w:color="000000" w:fill="6E9ECA"/>
            <w:hideMark/>
          </w:tcPr>
          <w:p w14:paraId="11F92813"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07</w:t>
            </w:r>
          </w:p>
        </w:tc>
        <w:tc>
          <w:tcPr>
            <w:tcW w:w="0" w:type="auto"/>
            <w:tcBorders>
              <w:top w:val="single" w:sz="4" w:space="0" w:color="D3D3D3"/>
              <w:left w:val="nil"/>
              <w:bottom w:val="single" w:sz="4" w:space="0" w:color="D3D3D3"/>
              <w:right w:val="single" w:sz="4" w:space="0" w:color="D3D3D3"/>
            </w:tcBorders>
            <w:shd w:val="clear" w:color="000000" w:fill="6E9ECA"/>
            <w:hideMark/>
          </w:tcPr>
          <w:p w14:paraId="1E831428"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08</w:t>
            </w:r>
          </w:p>
        </w:tc>
        <w:tc>
          <w:tcPr>
            <w:tcW w:w="762" w:type="dxa"/>
            <w:tcBorders>
              <w:top w:val="single" w:sz="4" w:space="0" w:color="D3D3D3"/>
              <w:left w:val="nil"/>
              <w:bottom w:val="single" w:sz="4" w:space="0" w:color="D3D3D3"/>
              <w:right w:val="single" w:sz="4" w:space="0" w:color="D3D3D3"/>
            </w:tcBorders>
            <w:shd w:val="clear" w:color="000000" w:fill="6E9ECA"/>
            <w:hideMark/>
          </w:tcPr>
          <w:p w14:paraId="25A8FF4D"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r w:rsidRPr="002528F9">
              <w:rPr>
                <w:rFonts w:ascii="Tahoma" w:eastAsia="Times New Roman" w:hAnsi="Tahoma" w:cs="Tahoma"/>
                <w:b/>
                <w:bCs/>
                <w:color w:val="FFFFFF"/>
                <w:sz w:val="16"/>
                <w:szCs w:val="16"/>
                <w:lang w:eastAsia="en-CA"/>
              </w:rPr>
              <w:t>Total</w:t>
            </w:r>
          </w:p>
        </w:tc>
      </w:tr>
      <w:tr w:rsidR="004A622C" w:rsidRPr="002528F9" w14:paraId="4CDC4B40" w14:textId="77777777" w:rsidTr="00AD0D88">
        <w:trPr>
          <w:trHeight w:val="255"/>
        </w:trPr>
        <w:tc>
          <w:tcPr>
            <w:tcW w:w="2423" w:type="dxa"/>
            <w:tcBorders>
              <w:top w:val="nil"/>
              <w:left w:val="nil"/>
              <w:bottom w:val="nil"/>
              <w:right w:val="nil"/>
            </w:tcBorders>
            <w:shd w:val="clear" w:color="auto" w:fill="auto"/>
            <w:noWrap/>
            <w:vAlign w:val="bottom"/>
            <w:hideMark/>
          </w:tcPr>
          <w:p w14:paraId="24B678E3" w14:textId="77777777" w:rsidR="002528F9" w:rsidRPr="002528F9" w:rsidRDefault="002528F9" w:rsidP="002528F9">
            <w:pPr>
              <w:spacing w:after="0" w:line="240" w:lineRule="auto"/>
              <w:jc w:val="center"/>
              <w:rPr>
                <w:rFonts w:ascii="Tahoma" w:eastAsia="Times New Roman" w:hAnsi="Tahoma" w:cs="Tahoma"/>
                <w:b/>
                <w:bCs/>
                <w:color w:val="FFFFFF"/>
                <w:sz w:val="16"/>
                <w:szCs w:val="16"/>
                <w:lang w:eastAsia="en-CA"/>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872C9" w14:textId="77777777" w:rsidR="002528F9" w:rsidRPr="002528F9" w:rsidRDefault="002528F9" w:rsidP="002528F9">
            <w:pPr>
              <w:spacing w:after="0" w:line="240" w:lineRule="auto"/>
              <w:rPr>
                <w:rFonts w:ascii="Lato" w:eastAsia="Times New Roman" w:hAnsi="Lato" w:cs="Tahoma"/>
                <w:sz w:val="16"/>
                <w:szCs w:val="16"/>
                <w:lang w:eastAsia="en-CA"/>
              </w:rPr>
            </w:pPr>
            <w:r w:rsidRPr="002528F9">
              <w:rPr>
                <w:rFonts w:ascii="Lato" w:eastAsia="Times New Roman" w:hAnsi="Lato" w:cs="Tahoma"/>
                <w:sz w:val="16"/>
                <w:szCs w:val="16"/>
                <w:lang w:eastAsia="en-CA"/>
              </w:rPr>
              <w:t>Regular</w:t>
            </w:r>
          </w:p>
        </w:tc>
        <w:tc>
          <w:tcPr>
            <w:tcW w:w="758" w:type="dxa"/>
            <w:tcBorders>
              <w:top w:val="single" w:sz="4" w:space="0" w:color="auto"/>
              <w:left w:val="nil"/>
              <w:bottom w:val="single" w:sz="4" w:space="0" w:color="auto"/>
              <w:right w:val="single" w:sz="4" w:space="0" w:color="auto"/>
            </w:tcBorders>
            <w:shd w:val="clear" w:color="auto" w:fill="auto"/>
            <w:noWrap/>
            <w:vAlign w:val="bottom"/>
            <w:hideMark/>
          </w:tcPr>
          <w:p w14:paraId="01684617"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188 </w:t>
            </w:r>
          </w:p>
        </w:tc>
        <w:tc>
          <w:tcPr>
            <w:tcW w:w="539" w:type="dxa"/>
            <w:tcBorders>
              <w:top w:val="single" w:sz="4" w:space="0" w:color="auto"/>
              <w:left w:val="nil"/>
              <w:bottom w:val="single" w:sz="4" w:space="0" w:color="auto"/>
              <w:right w:val="single" w:sz="4" w:space="0" w:color="auto"/>
            </w:tcBorders>
            <w:shd w:val="clear" w:color="auto" w:fill="auto"/>
            <w:noWrap/>
            <w:vAlign w:val="bottom"/>
            <w:hideMark/>
          </w:tcPr>
          <w:p w14:paraId="18559542"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206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4BC199"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247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34EC789"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251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49B6C3"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283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6F52CDB"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332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6C6BB7A"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319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1132311"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306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63524A9"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311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FCC2702"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385 </w:t>
            </w:r>
          </w:p>
        </w:tc>
        <w:tc>
          <w:tcPr>
            <w:tcW w:w="762" w:type="dxa"/>
            <w:tcBorders>
              <w:top w:val="single" w:sz="4" w:space="0" w:color="auto"/>
              <w:left w:val="nil"/>
              <w:bottom w:val="single" w:sz="4" w:space="0" w:color="auto"/>
              <w:right w:val="single" w:sz="4" w:space="0" w:color="auto"/>
            </w:tcBorders>
            <w:shd w:val="clear" w:color="auto" w:fill="auto"/>
            <w:noWrap/>
            <w:vAlign w:val="bottom"/>
            <w:hideMark/>
          </w:tcPr>
          <w:p w14:paraId="160159BC"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2,828 </w:t>
            </w:r>
          </w:p>
        </w:tc>
      </w:tr>
      <w:tr w:rsidR="004A622C" w:rsidRPr="002528F9" w14:paraId="1329B70B" w14:textId="77777777" w:rsidTr="00AD0D88">
        <w:trPr>
          <w:trHeight w:val="255"/>
        </w:trPr>
        <w:tc>
          <w:tcPr>
            <w:tcW w:w="2423" w:type="dxa"/>
            <w:tcBorders>
              <w:top w:val="nil"/>
              <w:left w:val="nil"/>
              <w:bottom w:val="nil"/>
              <w:right w:val="nil"/>
            </w:tcBorders>
            <w:shd w:val="clear" w:color="auto" w:fill="auto"/>
            <w:noWrap/>
            <w:vAlign w:val="bottom"/>
            <w:hideMark/>
          </w:tcPr>
          <w:p w14:paraId="3A3FBACE" w14:textId="77777777" w:rsidR="002528F9" w:rsidRPr="002528F9" w:rsidRDefault="002528F9" w:rsidP="002528F9">
            <w:pPr>
              <w:spacing w:after="0" w:line="240" w:lineRule="auto"/>
              <w:jc w:val="right"/>
              <w:rPr>
                <w:rFonts w:ascii="Lato" w:eastAsia="Times New Roman" w:hAnsi="Lato" w:cs="Tahoma"/>
                <w:sz w:val="18"/>
                <w:szCs w:val="18"/>
                <w:lang w:eastAsia="en-CA"/>
              </w:rPr>
            </w:pP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14:paraId="39EE4189" w14:textId="77777777" w:rsidR="002528F9" w:rsidRPr="002528F9" w:rsidRDefault="002528F9" w:rsidP="002528F9">
            <w:pPr>
              <w:spacing w:after="0" w:line="240" w:lineRule="auto"/>
              <w:rPr>
                <w:rFonts w:ascii="Lato" w:eastAsia="Times New Roman" w:hAnsi="Lato" w:cs="Tahoma"/>
                <w:sz w:val="16"/>
                <w:szCs w:val="16"/>
                <w:lang w:eastAsia="en-CA"/>
              </w:rPr>
            </w:pPr>
            <w:r w:rsidRPr="002528F9">
              <w:rPr>
                <w:rFonts w:ascii="Lato" w:eastAsia="Times New Roman" w:hAnsi="Lato" w:cs="Tahoma"/>
                <w:sz w:val="16"/>
                <w:szCs w:val="16"/>
                <w:lang w:eastAsia="en-CA"/>
              </w:rPr>
              <w:t>FI</w:t>
            </w:r>
          </w:p>
        </w:tc>
        <w:tc>
          <w:tcPr>
            <w:tcW w:w="758" w:type="dxa"/>
            <w:tcBorders>
              <w:top w:val="nil"/>
              <w:left w:val="nil"/>
              <w:bottom w:val="single" w:sz="4" w:space="0" w:color="auto"/>
              <w:right w:val="single" w:sz="4" w:space="0" w:color="auto"/>
            </w:tcBorders>
            <w:shd w:val="clear" w:color="auto" w:fill="auto"/>
            <w:noWrap/>
            <w:vAlign w:val="bottom"/>
            <w:hideMark/>
          </w:tcPr>
          <w:p w14:paraId="0454F04D"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142 </w:t>
            </w:r>
          </w:p>
        </w:tc>
        <w:tc>
          <w:tcPr>
            <w:tcW w:w="539" w:type="dxa"/>
            <w:tcBorders>
              <w:top w:val="nil"/>
              <w:left w:val="nil"/>
              <w:bottom w:val="single" w:sz="4" w:space="0" w:color="auto"/>
              <w:right w:val="single" w:sz="4" w:space="0" w:color="auto"/>
            </w:tcBorders>
            <w:shd w:val="clear" w:color="auto" w:fill="auto"/>
            <w:noWrap/>
            <w:vAlign w:val="bottom"/>
            <w:hideMark/>
          </w:tcPr>
          <w:p w14:paraId="4993710B"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158 </w:t>
            </w:r>
          </w:p>
        </w:tc>
        <w:tc>
          <w:tcPr>
            <w:tcW w:w="567" w:type="dxa"/>
            <w:tcBorders>
              <w:top w:val="nil"/>
              <w:left w:val="nil"/>
              <w:bottom w:val="single" w:sz="4" w:space="0" w:color="auto"/>
              <w:right w:val="single" w:sz="4" w:space="0" w:color="auto"/>
            </w:tcBorders>
            <w:shd w:val="clear" w:color="auto" w:fill="auto"/>
            <w:noWrap/>
            <w:vAlign w:val="bottom"/>
            <w:hideMark/>
          </w:tcPr>
          <w:p w14:paraId="3864A03E"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196 </w:t>
            </w:r>
          </w:p>
        </w:tc>
        <w:tc>
          <w:tcPr>
            <w:tcW w:w="0" w:type="auto"/>
            <w:tcBorders>
              <w:top w:val="nil"/>
              <w:left w:val="nil"/>
              <w:bottom w:val="single" w:sz="4" w:space="0" w:color="auto"/>
              <w:right w:val="single" w:sz="4" w:space="0" w:color="auto"/>
            </w:tcBorders>
            <w:shd w:val="clear" w:color="auto" w:fill="auto"/>
            <w:noWrap/>
            <w:vAlign w:val="bottom"/>
            <w:hideMark/>
          </w:tcPr>
          <w:p w14:paraId="07643DEC"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183 </w:t>
            </w:r>
          </w:p>
        </w:tc>
        <w:tc>
          <w:tcPr>
            <w:tcW w:w="0" w:type="auto"/>
            <w:tcBorders>
              <w:top w:val="nil"/>
              <w:left w:val="nil"/>
              <w:bottom w:val="single" w:sz="4" w:space="0" w:color="auto"/>
              <w:right w:val="single" w:sz="4" w:space="0" w:color="auto"/>
            </w:tcBorders>
            <w:shd w:val="clear" w:color="auto" w:fill="auto"/>
            <w:noWrap/>
            <w:vAlign w:val="bottom"/>
            <w:hideMark/>
          </w:tcPr>
          <w:p w14:paraId="2BA84095"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161 </w:t>
            </w:r>
          </w:p>
        </w:tc>
        <w:tc>
          <w:tcPr>
            <w:tcW w:w="0" w:type="auto"/>
            <w:tcBorders>
              <w:top w:val="nil"/>
              <w:left w:val="nil"/>
              <w:bottom w:val="single" w:sz="4" w:space="0" w:color="auto"/>
              <w:right w:val="single" w:sz="4" w:space="0" w:color="auto"/>
            </w:tcBorders>
            <w:shd w:val="clear" w:color="auto" w:fill="auto"/>
            <w:noWrap/>
            <w:vAlign w:val="bottom"/>
            <w:hideMark/>
          </w:tcPr>
          <w:p w14:paraId="70C2504B"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154 </w:t>
            </w:r>
          </w:p>
        </w:tc>
        <w:tc>
          <w:tcPr>
            <w:tcW w:w="0" w:type="auto"/>
            <w:tcBorders>
              <w:top w:val="nil"/>
              <w:left w:val="nil"/>
              <w:bottom w:val="single" w:sz="4" w:space="0" w:color="auto"/>
              <w:right w:val="single" w:sz="4" w:space="0" w:color="auto"/>
            </w:tcBorders>
            <w:shd w:val="clear" w:color="auto" w:fill="auto"/>
            <w:noWrap/>
            <w:vAlign w:val="bottom"/>
            <w:hideMark/>
          </w:tcPr>
          <w:p w14:paraId="698F47FA"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147 </w:t>
            </w:r>
          </w:p>
        </w:tc>
        <w:tc>
          <w:tcPr>
            <w:tcW w:w="0" w:type="auto"/>
            <w:tcBorders>
              <w:top w:val="nil"/>
              <w:left w:val="nil"/>
              <w:bottom w:val="single" w:sz="4" w:space="0" w:color="auto"/>
              <w:right w:val="single" w:sz="4" w:space="0" w:color="auto"/>
            </w:tcBorders>
            <w:shd w:val="clear" w:color="auto" w:fill="auto"/>
            <w:noWrap/>
            <w:vAlign w:val="bottom"/>
            <w:hideMark/>
          </w:tcPr>
          <w:p w14:paraId="38C9300A"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113 </w:t>
            </w:r>
          </w:p>
        </w:tc>
        <w:tc>
          <w:tcPr>
            <w:tcW w:w="0" w:type="auto"/>
            <w:tcBorders>
              <w:top w:val="nil"/>
              <w:left w:val="nil"/>
              <w:bottom w:val="single" w:sz="4" w:space="0" w:color="auto"/>
              <w:right w:val="single" w:sz="4" w:space="0" w:color="auto"/>
            </w:tcBorders>
            <w:shd w:val="clear" w:color="auto" w:fill="auto"/>
            <w:noWrap/>
            <w:vAlign w:val="bottom"/>
            <w:hideMark/>
          </w:tcPr>
          <w:p w14:paraId="1944D0E4"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138 </w:t>
            </w:r>
          </w:p>
        </w:tc>
        <w:tc>
          <w:tcPr>
            <w:tcW w:w="0" w:type="auto"/>
            <w:tcBorders>
              <w:top w:val="nil"/>
              <w:left w:val="nil"/>
              <w:bottom w:val="single" w:sz="4" w:space="0" w:color="auto"/>
              <w:right w:val="single" w:sz="4" w:space="0" w:color="auto"/>
            </w:tcBorders>
            <w:shd w:val="clear" w:color="auto" w:fill="auto"/>
            <w:noWrap/>
            <w:vAlign w:val="bottom"/>
            <w:hideMark/>
          </w:tcPr>
          <w:p w14:paraId="000E8BD4"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116 </w:t>
            </w:r>
          </w:p>
        </w:tc>
        <w:tc>
          <w:tcPr>
            <w:tcW w:w="762" w:type="dxa"/>
            <w:tcBorders>
              <w:top w:val="nil"/>
              <w:left w:val="nil"/>
              <w:bottom w:val="single" w:sz="4" w:space="0" w:color="auto"/>
              <w:right w:val="single" w:sz="4" w:space="0" w:color="auto"/>
            </w:tcBorders>
            <w:shd w:val="clear" w:color="auto" w:fill="auto"/>
            <w:noWrap/>
            <w:vAlign w:val="bottom"/>
            <w:hideMark/>
          </w:tcPr>
          <w:p w14:paraId="4917050E"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1,508 </w:t>
            </w:r>
          </w:p>
        </w:tc>
      </w:tr>
      <w:tr w:rsidR="004A622C" w:rsidRPr="002528F9" w14:paraId="0995BA4C" w14:textId="77777777" w:rsidTr="00AD0D88">
        <w:trPr>
          <w:trHeight w:val="255"/>
        </w:trPr>
        <w:tc>
          <w:tcPr>
            <w:tcW w:w="2423" w:type="dxa"/>
            <w:tcBorders>
              <w:top w:val="nil"/>
              <w:left w:val="nil"/>
              <w:bottom w:val="nil"/>
              <w:right w:val="nil"/>
            </w:tcBorders>
            <w:shd w:val="clear" w:color="auto" w:fill="auto"/>
            <w:noWrap/>
            <w:vAlign w:val="bottom"/>
            <w:hideMark/>
          </w:tcPr>
          <w:p w14:paraId="425FD0A7" w14:textId="77777777" w:rsidR="002528F9" w:rsidRPr="002528F9" w:rsidRDefault="002528F9" w:rsidP="002528F9">
            <w:pPr>
              <w:spacing w:after="0" w:line="240" w:lineRule="auto"/>
              <w:jc w:val="right"/>
              <w:rPr>
                <w:rFonts w:ascii="Lato" w:eastAsia="Times New Roman" w:hAnsi="Lato" w:cs="Tahoma"/>
                <w:sz w:val="18"/>
                <w:szCs w:val="18"/>
                <w:lang w:eastAsia="en-CA"/>
              </w:rPr>
            </w:pP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14:paraId="70D45E39" w14:textId="77777777" w:rsidR="002528F9" w:rsidRPr="002528F9" w:rsidRDefault="002528F9" w:rsidP="002528F9">
            <w:pPr>
              <w:spacing w:after="0" w:line="240" w:lineRule="auto"/>
              <w:rPr>
                <w:rFonts w:ascii="Lato" w:eastAsia="Times New Roman" w:hAnsi="Lato" w:cs="Tahoma"/>
                <w:sz w:val="16"/>
                <w:szCs w:val="16"/>
                <w:lang w:eastAsia="en-CA"/>
              </w:rPr>
            </w:pPr>
            <w:r w:rsidRPr="002528F9">
              <w:rPr>
                <w:rFonts w:ascii="Lato" w:eastAsia="Times New Roman" w:hAnsi="Lato" w:cs="Tahoma"/>
                <w:sz w:val="16"/>
                <w:szCs w:val="16"/>
                <w:lang w:eastAsia="en-CA"/>
              </w:rPr>
              <w:t>Self-Contained</w:t>
            </w:r>
          </w:p>
        </w:tc>
        <w:tc>
          <w:tcPr>
            <w:tcW w:w="758" w:type="dxa"/>
            <w:tcBorders>
              <w:top w:val="nil"/>
              <w:left w:val="nil"/>
              <w:bottom w:val="single" w:sz="4" w:space="0" w:color="auto"/>
              <w:right w:val="single" w:sz="4" w:space="0" w:color="auto"/>
            </w:tcBorders>
            <w:shd w:val="clear" w:color="auto" w:fill="auto"/>
            <w:noWrap/>
            <w:vAlign w:val="bottom"/>
            <w:hideMark/>
          </w:tcPr>
          <w:p w14:paraId="1E2F9C75"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0 </w:t>
            </w:r>
          </w:p>
        </w:tc>
        <w:tc>
          <w:tcPr>
            <w:tcW w:w="539" w:type="dxa"/>
            <w:tcBorders>
              <w:top w:val="nil"/>
              <w:left w:val="nil"/>
              <w:bottom w:val="single" w:sz="4" w:space="0" w:color="auto"/>
              <w:right w:val="single" w:sz="4" w:space="0" w:color="auto"/>
            </w:tcBorders>
            <w:shd w:val="clear" w:color="auto" w:fill="auto"/>
            <w:noWrap/>
            <w:vAlign w:val="bottom"/>
            <w:hideMark/>
          </w:tcPr>
          <w:p w14:paraId="2391EFC6"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2 </w:t>
            </w:r>
          </w:p>
        </w:tc>
        <w:tc>
          <w:tcPr>
            <w:tcW w:w="567" w:type="dxa"/>
            <w:tcBorders>
              <w:top w:val="nil"/>
              <w:left w:val="nil"/>
              <w:bottom w:val="single" w:sz="4" w:space="0" w:color="auto"/>
              <w:right w:val="single" w:sz="4" w:space="0" w:color="auto"/>
            </w:tcBorders>
            <w:shd w:val="clear" w:color="auto" w:fill="auto"/>
            <w:noWrap/>
            <w:vAlign w:val="bottom"/>
            <w:hideMark/>
          </w:tcPr>
          <w:p w14:paraId="30A84C68"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0 </w:t>
            </w:r>
          </w:p>
        </w:tc>
        <w:tc>
          <w:tcPr>
            <w:tcW w:w="0" w:type="auto"/>
            <w:tcBorders>
              <w:top w:val="nil"/>
              <w:left w:val="nil"/>
              <w:bottom w:val="single" w:sz="4" w:space="0" w:color="auto"/>
              <w:right w:val="single" w:sz="4" w:space="0" w:color="auto"/>
            </w:tcBorders>
            <w:shd w:val="clear" w:color="auto" w:fill="auto"/>
            <w:noWrap/>
            <w:vAlign w:val="bottom"/>
            <w:hideMark/>
          </w:tcPr>
          <w:p w14:paraId="43880494"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14 </w:t>
            </w:r>
          </w:p>
        </w:tc>
        <w:tc>
          <w:tcPr>
            <w:tcW w:w="0" w:type="auto"/>
            <w:tcBorders>
              <w:top w:val="nil"/>
              <w:left w:val="nil"/>
              <w:bottom w:val="single" w:sz="4" w:space="0" w:color="auto"/>
              <w:right w:val="single" w:sz="4" w:space="0" w:color="auto"/>
            </w:tcBorders>
            <w:shd w:val="clear" w:color="auto" w:fill="auto"/>
            <w:noWrap/>
            <w:vAlign w:val="bottom"/>
            <w:hideMark/>
          </w:tcPr>
          <w:p w14:paraId="54247097"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7 </w:t>
            </w:r>
          </w:p>
        </w:tc>
        <w:tc>
          <w:tcPr>
            <w:tcW w:w="0" w:type="auto"/>
            <w:tcBorders>
              <w:top w:val="nil"/>
              <w:left w:val="nil"/>
              <w:bottom w:val="single" w:sz="4" w:space="0" w:color="auto"/>
              <w:right w:val="single" w:sz="4" w:space="0" w:color="auto"/>
            </w:tcBorders>
            <w:shd w:val="clear" w:color="auto" w:fill="auto"/>
            <w:noWrap/>
            <w:vAlign w:val="bottom"/>
            <w:hideMark/>
          </w:tcPr>
          <w:p w14:paraId="15002DFF"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7 </w:t>
            </w:r>
          </w:p>
        </w:tc>
        <w:tc>
          <w:tcPr>
            <w:tcW w:w="0" w:type="auto"/>
            <w:tcBorders>
              <w:top w:val="nil"/>
              <w:left w:val="nil"/>
              <w:bottom w:val="single" w:sz="4" w:space="0" w:color="auto"/>
              <w:right w:val="single" w:sz="4" w:space="0" w:color="auto"/>
            </w:tcBorders>
            <w:shd w:val="clear" w:color="auto" w:fill="auto"/>
            <w:noWrap/>
            <w:vAlign w:val="bottom"/>
            <w:hideMark/>
          </w:tcPr>
          <w:p w14:paraId="42F13AA5"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14 </w:t>
            </w:r>
          </w:p>
        </w:tc>
        <w:tc>
          <w:tcPr>
            <w:tcW w:w="0" w:type="auto"/>
            <w:tcBorders>
              <w:top w:val="nil"/>
              <w:left w:val="nil"/>
              <w:bottom w:val="single" w:sz="4" w:space="0" w:color="auto"/>
              <w:right w:val="single" w:sz="4" w:space="0" w:color="auto"/>
            </w:tcBorders>
            <w:shd w:val="clear" w:color="auto" w:fill="auto"/>
            <w:noWrap/>
            <w:vAlign w:val="bottom"/>
            <w:hideMark/>
          </w:tcPr>
          <w:p w14:paraId="3B63AFD2"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8 </w:t>
            </w:r>
          </w:p>
        </w:tc>
        <w:tc>
          <w:tcPr>
            <w:tcW w:w="0" w:type="auto"/>
            <w:tcBorders>
              <w:top w:val="nil"/>
              <w:left w:val="nil"/>
              <w:bottom w:val="single" w:sz="4" w:space="0" w:color="auto"/>
              <w:right w:val="single" w:sz="4" w:space="0" w:color="auto"/>
            </w:tcBorders>
            <w:shd w:val="clear" w:color="auto" w:fill="auto"/>
            <w:noWrap/>
            <w:vAlign w:val="bottom"/>
            <w:hideMark/>
          </w:tcPr>
          <w:p w14:paraId="7A5CE9FF"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4 </w:t>
            </w:r>
          </w:p>
        </w:tc>
        <w:tc>
          <w:tcPr>
            <w:tcW w:w="0" w:type="auto"/>
            <w:tcBorders>
              <w:top w:val="nil"/>
              <w:left w:val="nil"/>
              <w:bottom w:val="single" w:sz="4" w:space="0" w:color="auto"/>
              <w:right w:val="single" w:sz="4" w:space="0" w:color="auto"/>
            </w:tcBorders>
            <w:shd w:val="clear" w:color="auto" w:fill="auto"/>
            <w:noWrap/>
            <w:vAlign w:val="bottom"/>
            <w:hideMark/>
          </w:tcPr>
          <w:p w14:paraId="5989CC41"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7 </w:t>
            </w:r>
          </w:p>
        </w:tc>
        <w:tc>
          <w:tcPr>
            <w:tcW w:w="762" w:type="dxa"/>
            <w:tcBorders>
              <w:top w:val="nil"/>
              <w:left w:val="nil"/>
              <w:bottom w:val="single" w:sz="4" w:space="0" w:color="auto"/>
              <w:right w:val="single" w:sz="4" w:space="0" w:color="auto"/>
            </w:tcBorders>
            <w:shd w:val="clear" w:color="auto" w:fill="auto"/>
            <w:noWrap/>
            <w:vAlign w:val="bottom"/>
            <w:hideMark/>
          </w:tcPr>
          <w:p w14:paraId="166DB3C1"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63 </w:t>
            </w:r>
          </w:p>
        </w:tc>
      </w:tr>
      <w:tr w:rsidR="004A622C" w:rsidRPr="002528F9" w14:paraId="067FF24F" w14:textId="77777777" w:rsidTr="00AD0D88">
        <w:trPr>
          <w:trHeight w:val="255"/>
        </w:trPr>
        <w:tc>
          <w:tcPr>
            <w:tcW w:w="2423" w:type="dxa"/>
            <w:tcBorders>
              <w:top w:val="nil"/>
              <w:left w:val="nil"/>
              <w:bottom w:val="nil"/>
              <w:right w:val="nil"/>
            </w:tcBorders>
            <w:shd w:val="clear" w:color="auto" w:fill="auto"/>
            <w:noWrap/>
            <w:vAlign w:val="bottom"/>
            <w:hideMark/>
          </w:tcPr>
          <w:p w14:paraId="5018BE84" w14:textId="77777777" w:rsidR="002528F9" w:rsidRPr="002528F9" w:rsidRDefault="002528F9" w:rsidP="002528F9">
            <w:pPr>
              <w:spacing w:after="0" w:line="240" w:lineRule="auto"/>
              <w:jc w:val="right"/>
              <w:rPr>
                <w:rFonts w:ascii="Lato" w:eastAsia="Times New Roman" w:hAnsi="Lato" w:cs="Tahoma"/>
                <w:sz w:val="18"/>
                <w:szCs w:val="18"/>
                <w:lang w:eastAsia="en-CA"/>
              </w:rPr>
            </w:pPr>
          </w:p>
        </w:tc>
        <w:tc>
          <w:tcPr>
            <w:tcW w:w="1047" w:type="dxa"/>
            <w:tcBorders>
              <w:top w:val="nil"/>
              <w:left w:val="nil"/>
              <w:bottom w:val="nil"/>
              <w:right w:val="nil"/>
            </w:tcBorders>
            <w:shd w:val="clear" w:color="auto" w:fill="auto"/>
            <w:noWrap/>
            <w:vAlign w:val="bottom"/>
            <w:hideMark/>
          </w:tcPr>
          <w:p w14:paraId="60519DAD" w14:textId="77777777" w:rsidR="002528F9" w:rsidRPr="002528F9" w:rsidRDefault="002528F9" w:rsidP="002528F9">
            <w:pPr>
              <w:spacing w:after="0" w:line="240" w:lineRule="auto"/>
              <w:rPr>
                <w:rFonts w:ascii="Times New Roman" w:eastAsia="Times New Roman" w:hAnsi="Times New Roman" w:cs="Times New Roman"/>
                <w:sz w:val="16"/>
                <w:szCs w:val="16"/>
                <w:lang w:eastAsia="en-CA"/>
              </w:rPr>
            </w:pPr>
          </w:p>
        </w:tc>
        <w:tc>
          <w:tcPr>
            <w:tcW w:w="758" w:type="dxa"/>
            <w:tcBorders>
              <w:top w:val="nil"/>
              <w:left w:val="nil"/>
              <w:bottom w:val="nil"/>
              <w:right w:val="nil"/>
            </w:tcBorders>
            <w:shd w:val="clear" w:color="auto" w:fill="auto"/>
            <w:noWrap/>
            <w:vAlign w:val="bottom"/>
            <w:hideMark/>
          </w:tcPr>
          <w:p w14:paraId="361AD9E1" w14:textId="77777777" w:rsidR="002528F9" w:rsidRPr="002528F9" w:rsidRDefault="002528F9" w:rsidP="002528F9">
            <w:pPr>
              <w:spacing w:after="0" w:line="240" w:lineRule="auto"/>
              <w:rPr>
                <w:rFonts w:ascii="Times New Roman" w:eastAsia="Times New Roman" w:hAnsi="Times New Roman" w:cs="Times New Roman"/>
                <w:sz w:val="16"/>
                <w:szCs w:val="16"/>
                <w:lang w:eastAsia="en-CA"/>
              </w:rPr>
            </w:pPr>
          </w:p>
        </w:tc>
        <w:tc>
          <w:tcPr>
            <w:tcW w:w="539" w:type="dxa"/>
            <w:tcBorders>
              <w:top w:val="nil"/>
              <w:left w:val="nil"/>
              <w:bottom w:val="nil"/>
              <w:right w:val="nil"/>
            </w:tcBorders>
            <w:shd w:val="clear" w:color="auto" w:fill="auto"/>
            <w:noWrap/>
            <w:vAlign w:val="bottom"/>
            <w:hideMark/>
          </w:tcPr>
          <w:p w14:paraId="3F255305" w14:textId="77777777" w:rsidR="002528F9" w:rsidRPr="002528F9" w:rsidRDefault="002528F9" w:rsidP="002528F9">
            <w:pPr>
              <w:spacing w:after="0" w:line="240" w:lineRule="auto"/>
              <w:rPr>
                <w:rFonts w:ascii="Times New Roman" w:eastAsia="Times New Roman" w:hAnsi="Times New Roman" w:cs="Times New Roman"/>
                <w:sz w:val="16"/>
                <w:szCs w:val="16"/>
                <w:lang w:eastAsia="en-CA"/>
              </w:rPr>
            </w:pPr>
          </w:p>
        </w:tc>
        <w:tc>
          <w:tcPr>
            <w:tcW w:w="567" w:type="dxa"/>
            <w:tcBorders>
              <w:top w:val="nil"/>
              <w:left w:val="nil"/>
              <w:bottom w:val="nil"/>
              <w:right w:val="nil"/>
            </w:tcBorders>
            <w:shd w:val="clear" w:color="auto" w:fill="auto"/>
            <w:noWrap/>
            <w:vAlign w:val="bottom"/>
            <w:hideMark/>
          </w:tcPr>
          <w:p w14:paraId="15EECF32" w14:textId="77777777" w:rsidR="002528F9" w:rsidRPr="002528F9" w:rsidRDefault="002528F9" w:rsidP="002528F9">
            <w:pPr>
              <w:spacing w:after="0" w:line="240" w:lineRule="auto"/>
              <w:rPr>
                <w:rFonts w:ascii="Times New Roman" w:eastAsia="Times New Roman" w:hAnsi="Times New Roman" w:cs="Times New Roman"/>
                <w:sz w:val="16"/>
                <w:szCs w:val="16"/>
                <w:lang w:eastAsia="en-CA"/>
              </w:rPr>
            </w:pPr>
          </w:p>
        </w:tc>
        <w:tc>
          <w:tcPr>
            <w:tcW w:w="0" w:type="auto"/>
            <w:tcBorders>
              <w:top w:val="nil"/>
              <w:left w:val="nil"/>
              <w:bottom w:val="nil"/>
              <w:right w:val="nil"/>
            </w:tcBorders>
            <w:shd w:val="clear" w:color="auto" w:fill="auto"/>
            <w:noWrap/>
            <w:vAlign w:val="bottom"/>
            <w:hideMark/>
          </w:tcPr>
          <w:p w14:paraId="058F659E" w14:textId="77777777" w:rsidR="002528F9" w:rsidRPr="002528F9" w:rsidRDefault="002528F9" w:rsidP="002528F9">
            <w:pPr>
              <w:spacing w:after="0" w:line="240" w:lineRule="auto"/>
              <w:rPr>
                <w:rFonts w:ascii="Times New Roman" w:eastAsia="Times New Roman" w:hAnsi="Times New Roman" w:cs="Times New Roman"/>
                <w:sz w:val="16"/>
                <w:szCs w:val="16"/>
                <w:lang w:eastAsia="en-CA"/>
              </w:rPr>
            </w:pPr>
          </w:p>
        </w:tc>
        <w:tc>
          <w:tcPr>
            <w:tcW w:w="0" w:type="auto"/>
            <w:tcBorders>
              <w:top w:val="nil"/>
              <w:left w:val="nil"/>
              <w:bottom w:val="nil"/>
              <w:right w:val="nil"/>
            </w:tcBorders>
            <w:shd w:val="clear" w:color="auto" w:fill="auto"/>
            <w:noWrap/>
            <w:vAlign w:val="bottom"/>
            <w:hideMark/>
          </w:tcPr>
          <w:p w14:paraId="693A1791" w14:textId="77777777" w:rsidR="002528F9" w:rsidRPr="002528F9" w:rsidRDefault="002528F9" w:rsidP="002528F9">
            <w:pPr>
              <w:spacing w:after="0" w:line="240" w:lineRule="auto"/>
              <w:rPr>
                <w:rFonts w:ascii="Times New Roman" w:eastAsia="Times New Roman" w:hAnsi="Times New Roman" w:cs="Times New Roman"/>
                <w:sz w:val="16"/>
                <w:szCs w:val="16"/>
                <w:lang w:eastAsia="en-CA"/>
              </w:rPr>
            </w:pPr>
          </w:p>
        </w:tc>
        <w:tc>
          <w:tcPr>
            <w:tcW w:w="0" w:type="auto"/>
            <w:tcBorders>
              <w:top w:val="nil"/>
              <w:left w:val="nil"/>
              <w:bottom w:val="nil"/>
              <w:right w:val="nil"/>
            </w:tcBorders>
            <w:shd w:val="clear" w:color="auto" w:fill="auto"/>
            <w:noWrap/>
            <w:vAlign w:val="bottom"/>
            <w:hideMark/>
          </w:tcPr>
          <w:p w14:paraId="74A70637" w14:textId="77777777" w:rsidR="002528F9" w:rsidRPr="002528F9" w:rsidRDefault="002528F9" w:rsidP="002528F9">
            <w:pPr>
              <w:spacing w:after="0" w:line="240" w:lineRule="auto"/>
              <w:rPr>
                <w:rFonts w:ascii="Times New Roman" w:eastAsia="Times New Roman" w:hAnsi="Times New Roman" w:cs="Times New Roman"/>
                <w:sz w:val="16"/>
                <w:szCs w:val="16"/>
                <w:lang w:eastAsia="en-CA"/>
              </w:rPr>
            </w:pPr>
          </w:p>
        </w:tc>
        <w:tc>
          <w:tcPr>
            <w:tcW w:w="0" w:type="auto"/>
            <w:tcBorders>
              <w:top w:val="nil"/>
              <w:left w:val="nil"/>
              <w:bottom w:val="nil"/>
              <w:right w:val="nil"/>
            </w:tcBorders>
            <w:shd w:val="clear" w:color="auto" w:fill="auto"/>
            <w:noWrap/>
            <w:vAlign w:val="bottom"/>
            <w:hideMark/>
          </w:tcPr>
          <w:p w14:paraId="46A66570" w14:textId="77777777" w:rsidR="002528F9" w:rsidRPr="002528F9" w:rsidRDefault="002528F9" w:rsidP="002528F9">
            <w:pPr>
              <w:spacing w:after="0" w:line="240" w:lineRule="auto"/>
              <w:rPr>
                <w:rFonts w:ascii="Times New Roman" w:eastAsia="Times New Roman" w:hAnsi="Times New Roman" w:cs="Times New Roman"/>
                <w:sz w:val="16"/>
                <w:szCs w:val="16"/>
                <w:lang w:eastAsia="en-CA"/>
              </w:rPr>
            </w:pPr>
          </w:p>
        </w:tc>
        <w:tc>
          <w:tcPr>
            <w:tcW w:w="0" w:type="auto"/>
            <w:tcBorders>
              <w:top w:val="nil"/>
              <w:left w:val="nil"/>
              <w:bottom w:val="nil"/>
              <w:right w:val="nil"/>
            </w:tcBorders>
            <w:shd w:val="clear" w:color="auto" w:fill="auto"/>
            <w:noWrap/>
            <w:vAlign w:val="bottom"/>
            <w:hideMark/>
          </w:tcPr>
          <w:p w14:paraId="788E6475" w14:textId="77777777" w:rsidR="002528F9" w:rsidRPr="002528F9" w:rsidRDefault="002528F9" w:rsidP="002528F9">
            <w:pPr>
              <w:spacing w:after="0" w:line="240" w:lineRule="auto"/>
              <w:rPr>
                <w:rFonts w:ascii="Times New Roman" w:eastAsia="Times New Roman" w:hAnsi="Times New Roman" w:cs="Times New Roman"/>
                <w:sz w:val="16"/>
                <w:szCs w:val="16"/>
                <w:lang w:eastAsia="en-CA"/>
              </w:rPr>
            </w:pPr>
          </w:p>
        </w:tc>
        <w:tc>
          <w:tcPr>
            <w:tcW w:w="0" w:type="auto"/>
            <w:tcBorders>
              <w:top w:val="nil"/>
              <w:left w:val="nil"/>
              <w:bottom w:val="nil"/>
              <w:right w:val="nil"/>
            </w:tcBorders>
            <w:shd w:val="clear" w:color="auto" w:fill="auto"/>
            <w:noWrap/>
            <w:vAlign w:val="bottom"/>
            <w:hideMark/>
          </w:tcPr>
          <w:p w14:paraId="09B0D67E" w14:textId="77777777" w:rsidR="002528F9" w:rsidRPr="002528F9" w:rsidRDefault="002528F9" w:rsidP="002528F9">
            <w:pPr>
              <w:spacing w:after="0" w:line="240" w:lineRule="auto"/>
              <w:rPr>
                <w:rFonts w:ascii="Times New Roman" w:eastAsia="Times New Roman" w:hAnsi="Times New Roman" w:cs="Times New Roman"/>
                <w:sz w:val="16"/>
                <w:szCs w:val="16"/>
                <w:lang w:eastAsia="en-CA"/>
              </w:rPr>
            </w:pPr>
          </w:p>
        </w:tc>
        <w:tc>
          <w:tcPr>
            <w:tcW w:w="0" w:type="auto"/>
            <w:tcBorders>
              <w:top w:val="nil"/>
              <w:left w:val="nil"/>
              <w:bottom w:val="nil"/>
              <w:right w:val="nil"/>
            </w:tcBorders>
            <w:shd w:val="clear" w:color="auto" w:fill="auto"/>
            <w:noWrap/>
            <w:vAlign w:val="bottom"/>
            <w:hideMark/>
          </w:tcPr>
          <w:p w14:paraId="60214828" w14:textId="77777777" w:rsidR="002528F9" w:rsidRPr="002528F9" w:rsidRDefault="002528F9" w:rsidP="002528F9">
            <w:pPr>
              <w:spacing w:after="0" w:line="240" w:lineRule="auto"/>
              <w:rPr>
                <w:rFonts w:ascii="Times New Roman" w:eastAsia="Times New Roman" w:hAnsi="Times New Roman" w:cs="Times New Roman"/>
                <w:sz w:val="16"/>
                <w:szCs w:val="16"/>
                <w:lang w:eastAsia="en-CA"/>
              </w:rPr>
            </w:pPr>
          </w:p>
        </w:tc>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77DA230F" w14:textId="77777777" w:rsidR="002528F9" w:rsidRPr="002528F9" w:rsidRDefault="002528F9" w:rsidP="002528F9">
            <w:pPr>
              <w:spacing w:after="0" w:line="240" w:lineRule="auto"/>
              <w:jc w:val="right"/>
              <w:rPr>
                <w:rFonts w:ascii="Lato" w:eastAsia="Times New Roman" w:hAnsi="Lato" w:cs="Tahoma"/>
                <w:sz w:val="16"/>
                <w:szCs w:val="16"/>
                <w:lang w:eastAsia="en-CA"/>
              </w:rPr>
            </w:pPr>
            <w:r w:rsidRPr="002528F9">
              <w:rPr>
                <w:rFonts w:ascii="Lato" w:eastAsia="Times New Roman" w:hAnsi="Lato" w:cs="Tahoma"/>
                <w:sz w:val="16"/>
                <w:szCs w:val="16"/>
                <w:lang w:eastAsia="en-CA"/>
              </w:rPr>
              <w:t xml:space="preserve">4,399 </w:t>
            </w:r>
          </w:p>
        </w:tc>
      </w:tr>
    </w:tbl>
    <w:p w14:paraId="41019791" w14:textId="20F8BABD" w:rsidR="002F75CE" w:rsidRDefault="002F75CE" w:rsidP="00854FA7">
      <w:pPr>
        <w:pStyle w:val="NoSpacing"/>
        <w:rPr>
          <w:rFonts w:asciiTheme="minorHAnsi" w:eastAsiaTheme="minorHAnsi" w:hAnsiTheme="minorHAnsi" w:cstheme="minorBidi"/>
        </w:rPr>
      </w:pPr>
      <w:r>
        <w:rPr>
          <w:noProof/>
        </w:rPr>
        <w:fldChar w:fldCharType="begin"/>
      </w:r>
      <w:r>
        <w:rPr>
          <w:noProof/>
        </w:rPr>
        <w:instrText xml:space="preserve"> LINK Excel.Sheet.12 "https://sudburycatholicschools-my.sharepoint.com/personal/corallc_sudburycatholicschools_ca/Documents/Budget%202021-22/2021%202022%20Estimates/SchoolEnrolmentsSummary%20SE%20(Staffing%20+).xlsx" "Sheet1!R10C1:R14C12" \a \f 4 \h </w:instrText>
      </w:r>
      <w:r>
        <w:rPr>
          <w:noProof/>
        </w:rPr>
        <w:fldChar w:fldCharType="separate"/>
      </w:r>
    </w:p>
    <w:p w14:paraId="7279191F" w14:textId="1CB9DD91" w:rsidR="00CB0EF4" w:rsidRDefault="002F75CE" w:rsidP="00854FA7">
      <w:pPr>
        <w:pStyle w:val="NoSpacing"/>
        <w:rPr>
          <w:noProof/>
        </w:rPr>
      </w:pPr>
      <w:r>
        <w:rPr>
          <w:noProof/>
        </w:rPr>
        <w:fldChar w:fldCharType="end"/>
      </w:r>
    </w:p>
    <w:p w14:paraId="469D707B" w14:textId="77777777" w:rsidR="00594222" w:rsidRDefault="00594222" w:rsidP="00854FA7">
      <w:pPr>
        <w:pStyle w:val="NoSpacing"/>
      </w:pPr>
    </w:p>
    <w:p w14:paraId="04B8F69D" w14:textId="736D6591" w:rsidR="007172D8" w:rsidRDefault="007172D8" w:rsidP="007172D8">
      <w:pPr>
        <w:pStyle w:val="Heading2"/>
      </w:pPr>
      <w:bookmarkStart w:id="8" w:name="_Toc104628858"/>
      <w:r>
        <w:t>Secondary Enrolment Projections by School</w:t>
      </w:r>
      <w:bookmarkEnd w:id="8"/>
    </w:p>
    <w:p w14:paraId="7C62E948" w14:textId="1AA9E787" w:rsidR="00F16D07" w:rsidRDefault="00B20E2D" w:rsidP="00DE40F1">
      <w:r w:rsidRPr="00B20E2D">
        <w:t xml:space="preserve"> </w:t>
      </w:r>
      <w:r w:rsidR="00595C9D" w:rsidRPr="00595C9D">
        <w:rPr>
          <w:noProof/>
        </w:rPr>
        <w:drawing>
          <wp:inline distT="0" distB="0" distL="0" distR="0" wp14:anchorId="27287D8F" wp14:editId="46A0C61E">
            <wp:extent cx="5943600" cy="872490"/>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872490"/>
                    </a:xfrm>
                    <a:prstGeom prst="rect">
                      <a:avLst/>
                    </a:prstGeom>
                    <a:noFill/>
                    <a:ln>
                      <a:noFill/>
                    </a:ln>
                  </pic:spPr>
                </pic:pic>
              </a:graphicData>
            </a:graphic>
          </wp:inline>
        </w:drawing>
      </w:r>
    </w:p>
    <w:p w14:paraId="4EBDFA8E" w14:textId="7C6C4B68" w:rsidR="00B315C8" w:rsidRDefault="00B315C8" w:rsidP="00B12C60">
      <w:pPr>
        <w:pStyle w:val="Heading1"/>
      </w:pPr>
      <w:bookmarkStart w:id="9" w:name="_Toc104628859"/>
      <w:r>
        <w:t>Summary Budget Ana</w:t>
      </w:r>
      <w:r w:rsidR="00B12C60">
        <w:t>l</w:t>
      </w:r>
      <w:r>
        <w:t>ysis</w:t>
      </w:r>
      <w:bookmarkEnd w:id="9"/>
    </w:p>
    <w:p w14:paraId="0C8DAC42" w14:textId="47F4CB1D" w:rsidR="00B315C8" w:rsidRDefault="00B315C8" w:rsidP="00854FA7">
      <w:pPr>
        <w:pStyle w:val="NoSpacing"/>
      </w:pPr>
    </w:p>
    <w:p w14:paraId="4BC48FC7" w14:textId="6CB4D307" w:rsidR="00B315C8" w:rsidRDefault="006158DB" w:rsidP="00854FA7">
      <w:pPr>
        <w:pStyle w:val="NoSpacing"/>
      </w:pPr>
      <w:r>
        <w:rPr>
          <w:noProof/>
        </w:rPr>
        <w:drawing>
          <wp:inline distT="0" distB="0" distL="0" distR="0" wp14:anchorId="183CB4AC" wp14:editId="5615E226">
            <wp:extent cx="5943600" cy="2990850"/>
            <wp:effectExtent l="0" t="0" r="0" b="0"/>
            <wp:docPr id="4" name="Chart 4">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010A49B" w14:textId="77777777" w:rsidR="00473D36" w:rsidRDefault="00473D36" w:rsidP="00854FA7">
      <w:pPr>
        <w:pStyle w:val="NoSpacing"/>
      </w:pPr>
    </w:p>
    <w:p w14:paraId="5D7F1FC7" w14:textId="775A70F5" w:rsidR="006051E4" w:rsidRDefault="00473D36" w:rsidP="00854FA7">
      <w:pPr>
        <w:pStyle w:val="NoSpacing"/>
      </w:pPr>
      <w:bookmarkStart w:id="10" w:name="_Toc104621862"/>
      <w:r>
        <w:rPr>
          <w:noProof/>
        </w:rPr>
        <w:lastRenderedPageBreak/>
        <w:drawing>
          <wp:inline distT="0" distB="0" distL="0" distR="0" wp14:anchorId="63AC5D64" wp14:editId="2277CB57">
            <wp:extent cx="5943600" cy="2695575"/>
            <wp:effectExtent l="0" t="0" r="0" b="9525"/>
            <wp:docPr id="5" name="Chart 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bookmarkEnd w:id="10"/>
    </w:p>
    <w:p w14:paraId="54EA1582" w14:textId="77777777" w:rsidR="00EC1DC1" w:rsidRPr="00EC1DC1" w:rsidRDefault="00EC1DC1" w:rsidP="00EC1DC1"/>
    <w:p w14:paraId="028F3D9A" w14:textId="4F874903" w:rsidR="00B315C8" w:rsidRDefault="007D53EF" w:rsidP="007D53EF">
      <w:pPr>
        <w:pStyle w:val="Heading2"/>
      </w:pPr>
      <w:bookmarkStart w:id="11" w:name="_Toc104628860"/>
      <w:r>
        <w:t>Summary Budget Comparison Analysis</w:t>
      </w:r>
      <w:bookmarkEnd w:id="11"/>
    </w:p>
    <w:tbl>
      <w:tblPr>
        <w:tblW w:w="9260" w:type="dxa"/>
        <w:tblLook w:val="04A0" w:firstRow="1" w:lastRow="0" w:firstColumn="1" w:lastColumn="0" w:noHBand="0" w:noVBand="1"/>
      </w:tblPr>
      <w:tblGrid>
        <w:gridCol w:w="4760"/>
        <w:gridCol w:w="1500"/>
        <w:gridCol w:w="1500"/>
        <w:gridCol w:w="1500"/>
      </w:tblGrid>
      <w:tr w:rsidR="004173B0" w:rsidRPr="004173B0" w14:paraId="3FEFD2A3" w14:textId="77777777" w:rsidTr="004173B0">
        <w:trPr>
          <w:trHeight w:val="630"/>
        </w:trPr>
        <w:tc>
          <w:tcPr>
            <w:tcW w:w="4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A464F" w14:textId="77777777" w:rsidR="004173B0" w:rsidRPr="004173B0" w:rsidRDefault="004173B0" w:rsidP="004173B0">
            <w:pPr>
              <w:spacing w:after="0" w:line="240" w:lineRule="auto"/>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 </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14:paraId="6CE7FA7F" w14:textId="77777777" w:rsidR="004173B0" w:rsidRPr="004173B0" w:rsidRDefault="004173B0" w:rsidP="004173B0">
            <w:pPr>
              <w:spacing w:after="0" w:line="240" w:lineRule="auto"/>
              <w:jc w:val="center"/>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2021-2022     Revised</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14:paraId="1A81C403" w14:textId="0F723BBA" w:rsidR="004173B0" w:rsidRPr="004173B0" w:rsidRDefault="004173B0" w:rsidP="004173B0">
            <w:pPr>
              <w:spacing w:after="0" w:line="240" w:lineRule="auto"/>
              <w:jc w:val="center"/>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2021-2022     Updated Bu</w:t>
            </w:r>
            <w:r w:rsidR="004006E4">
              <w:rPr>
                <w:rFonts w:ascii="Verdana" w:eastAsia="Times New Roman" w:hAnsi="Verdana" w:cs="Calibri"/>
                <w:b/>
                <w:bCs/>
                <w:color w:val="000000"/>
                <w:sz w:val="16"/>
                <w:szCs w:val="16"/>
                <w:lang w:eastAsia="en-CA"/>
              </w:rPr>
              <w:t>d</w:t>
            </w:r>
            <w:r w:rsidRPr="004173B0">
              <w:rPr>
                <w:rFonts w:ascii="Verdana" w:eastAsia="Times New Roman" w:hAnsi="Verdana" w:cs="Calibri"/>
                <w:b/>
                <w:bCs/>
                <w:color w:val="000000"/>
                <w:sz w:val="16"/>
                <w:szCs w:val="16"/>
                <w:lang w:eastAsia="en-CA"/>
              </w:rPr>
              <w:t>get</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14:paraId="7F4973E3" w14:textId="77777777" w:rsidR="004173B0" w:rsidRPr="004173B0" w:rsidRDefault="004173B0" w:rsidP="004173B0">
            <w:pPr>
              <w:spacing w:after="0" w:line="240" w:lineRule="auto"/>
              <w:jc w:val="center"/>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2022-2023     Estimates</w:t>
            </w:r>
          </w:p>
        </w:tc>
      </w:tr>
      <w:tr w:rsidR="004173B0" w:rsidRPr="004173B0" w14:paraId="2ADD1844" w14:textId="77777777" w:rsidTr="004173B0">
        <w:trPr>
          <w:trHeight w:val="210"/>
        </w:trPr>
        <w:tc>
          <w:tcPr>
            <w:tcW w:w="4760" w:type="dxa"/>
            <w:tcBorders>
              <w:top w:val="nil"/>
              <w:left w:val="nil"/>
              <w:bottom w:val="nil"/>
              <w:right w:val="nil"/>
            </w:tcBorders>
            <w:shd w:val="clear" w:color="auto" w:fill="auto"/>
            <w:noWrap/>
            <w:vAlign w:val="bottom"/>
            <w:hideMark/>
          </w:tcPr>
          <w:p w14:paraId="6E7084C3" w14:textId="77777777" w:rsidR="004173B0" w:rsidRPr="004173B0" w:rsidRDefault="004173B0" w:rsidP="004173B0">
            <w:pPr>
              <w:spacing w:after="0" w:line="240" w:lineRule="auto"/>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Revenues</w:t>
            </w:r>
          </w:p>
        </w:tc>
        <w:tc>
          <w:tcPr>
            <w:tcW w:w="1500" w:type="dxa"/>
            <w:tcBorders>
              <w:top w:val="nil"/>
              <w:left w:val="nil"/>
              <w:bottom w:val="nil"/>
              <w:right w:val="nil"/>
            </w:tcBorders>
            <w:shd w:val="clear" w:color="auto" w:fill="auto"/>
            <w:noWrap/>
            <w:vAlign w:val="bottom"/>
            <w:hideMark/>
          </w:tcPr>
          <w:p w14:paraId="6DA22CF7" w14:textId="77777777" w:rsidR="004173B0" w:rsidRPr="004173B0" w:rsidRDefault="004173B0" w:rsidP="004173B0">
            <w:pPr>
              <w:spacing w:after="0" w:line="240" w:lineRule="auto"/>
              <w:rPr>
                <w:rFonts w:ascii="Verdana" w:eastAsia="Times New Roman" w:hAnsi="Verdana" w:cs="Calibri"/>
                <w:b/>
                <w:bCs/>
                <w:color w:val="000000"/>
                <w:sz w:val="16"/>
                <w:szCs w:val="16"/>
                <w:lang w:eastAsia="en-CA"/>
              </w:rPr>
            </w:pPr>
          </w:p>
        </w:tc>
        <w:tc>
          <w:tcPr>
            <w:tcW w:w="1500" w:type="dxa"/>
            <w:tcBorders>
              <w:top w:val="nil"/>
              <w:left w:val="nil"/>
              <w:bottom w:val="nil"/>
              <w:right w:val="nil"/>
            </w:tcBorders>
            <w:shd w:val="clear" w:color="auto" w:fill="auto"/>
            <w:noWrap/>
            <w:vAlign w:val="bottom"/>
            <w:hideMark/>
          </w:tcPr>
          <w:p w14:paraId="01A3F0F4" w14:textId="77777777" w:rsidR="004173B0" w:rsidRPr="004173B0" w:rsidRDefault="004173B0" w:rsidP="004173B0">
            <w:pPr>
              <w:spacing w:after="0" w:line="240" w:lineRule="auto"/>
              <w:rPr>
                <w:rFonts w:ascii="Times New Roman" w:eastAsia="Times New Roman" w:hAnsi="Times New Roman" w:cs="Times New Roman"/>
                <w:sz w:val="20"/>
                <w:szCs w:val="20"/>
                <w:lang w:eastAsia="en-CA"/>
              </w:rPr>
            </w:pPr>
          </w:p>
        </w:tc>
        <w:tc>
          <w:tcPr>
            <w:tcW w:w="1500" w:type="dxa"/>
            <w:tcBorders>
              <w:top w:val="nil"/>
              <w:left w:val="nil"/>
              <w:bottom w:val="nil"/>
              <w:right w:val="nil"/>
            </w:tcBorders>
            <w:shd w:val="clear" w:color="auto" w:fill="auto"/>
            <w:noWrap/>
            <w:vAlign w:val="bottom"/>
            <w:hideMark/>
          </w:tcPr>
          <w:p w14:paraId="095F5F71" w14:textId="77777777" w:rsidR="004173B0" w:rsidRPr="004173B0" w:rsidRDefault="004173B0" w:rsidP="004173B0">
            <w:pPr>
              <w:spacing w:after="0" w:line="240" w:lineRule="auto"/>
              <w:rPr>
                <w:rFonts w:ascii="Times New Roman" w:eastAsia="Times New Roman" w:hAnsi="Times New Roman" w:cs="Times New Roman"/>
                <w:sz w:val="20"/>
                <w:szCs w:val="20"/>
                <w:lang w:eastAsia="en-CA"/>
              </w:rPr>
            </w:pPr>
          </w:p>
        </w:tc>
      </w:tr>
      <w:tr w:rsidR="004173B0" w:rsidRPr="004173B0" w14:paraId="5E48ECA1" w14:textId="77777777" w:rsidTr="004173B0">
        <w:trPr>
          <w:trHeight w:val="210"/>
        </w:trPr>
        <w:tc>
          <w:tcPr>
            <w:tcW w:w="4760" w:type="dxa"/>
            <w:tcBorders>
              <w:top w:val="nil"/>
              <w:left w:val="nil"/>
              <w:bottom w:val="nil"/>
              <w:right w:val="nil"/>
            </w:tcBorders>
            <w:shd w:val="clear" w:color="auto" w:fill="auto"/>
            <w:noWrap/>
            <w:vAlign w:val="bottom"/>
            <w:hideMark/>
          </w:tcPr>
          <w:p w14:paraId="7EF8C01A" w14:textId="77777777" w:rsidR="004173B0" w:rsidRPr="004173B0" w:rsidRDefault="004173B0" w:rsidP="004173B0">
            <w:pPr>
              <w:spacing w:after="0" w:line="240" w:lineRule="auto"/>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Provincial Grants</w:t>
            </w:r>
          </w:p>
        </w:tc>
        <w:tc>
          <w:tcPr>
            <w:tcW w:w="1500" w:type="dxa"/>
            <w:tcBorders>
              <w:top w:val="nil"/>
              <w:left w:val="nil"/>
              <w:bottom w:val="nil"/>
              <w:right w:val="nil"/>
            </w:tcBorders>
            <w:shd w:val="clear" w:color="auto" w:fill="auto"/>
            <w:noWrap/>
            <w:vAlign w:val="bottom"/>
            <w:hideMark/>
          </w:tcPr>
          <w:p w14:paraId="27EEB45F"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92,881,969</w:t>
            </w:r>
          </w:p>
        </w:tc>
        <w:tc>
          <w:tcPr>
            <w:tcW w:w="1500" w:type="dxa"/>
            <w:tcBorders>
              <w:top w:val="nil"/>
              <w:left w:val="nil"/>
              <w:bottom w:val="nil"/>
              <w:right w:val="nil"/>
            </w:tcBorders>
            <w:shd w:val="clear" w:color="auto" w:fill="auto"/>
            <w:noWrap/>
            <w:vAlign w:val="bottom"/>
            <w:hideMark/>
          </w:tcPr>
          <w:p w14:paraId="0B8A799B"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96,556,407</w:t>
            </w:r>
          </w:p>
        </w:tc>
        <w:tc>
          <w:tcPr>
            <w:tcW w:w="1500" w:type="dxa"/>
            <w:tcBorders>
              <w:top w:val="nil"/>
              <w:left w:val="nil"/>
              <w:bottom w:val="nil"/>
              <w:right w:val="nil"/>
            </w:tcBorders>
            <w:shd w:val="clear" w:color="auto" w:fill="auto"/>
            <w:noWrap/>
            <w:vAlign w:val="bottom"/>
            <w:hideMark/>
          </w:tcPr>
          <w:p w14:paraId="5A67E1A9"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95,956,407</w:t>
            </w:r>
          </w:p>
        </w:tc>
      </w:tr>
      <w:tr w:rsidR="004173B0" w:rsidRPr="004173B0" w14:paraId="30713BA2" w14:textId="77777777" w:rsidTr="004173B0">
        <w:trPr>
          <w:trHeight w:val="210"/>
        </w:trPr>
        <w:tc>
          <w:tcPr>
            <w:tcW w:w="4760" w:type="dxa"/>
            <w:tcBorders>
              <w:top w:val="nil"/>
              <w:left w:val="nil"/>
              <w:bottom w:val="nil"/>
              <w:right w:val="nil"/>
            </w:tcBorders>
            <w:shd w:val="clear" w:color="auto" w:fill="auto"/>
            <w:noWrap/>
            <w:vAlign w:val="bottom"/>
            <w:hideMark/>
          </w:tcPr>
          <w:p w14:paraId="2EAACD55" w14:textId="77777777" w:rsidR="004173B0" w:rsidRPr="004173B0" w:rsidRDefault="004173B0" w:rsidP="004173B0">
            <w:pPr>
              <w:spacing w:after="0" w:line="240" w:lineRule="auto"/>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Partnership and Priority Funding</w:t>
            </w:r>
          </w:p>
        </w:tc>
        <w:tc>
          <w:tcPr>
            <w:tcW w:w="1500" w:type="dxa"/>
            <w:tcBorders>
              <w:top w:val="nil"/>
              <w:left w:val="nil"/>
              <w:bottom w:val="nil"/>
              <w:right w:val="nil"/>
            </w:tcBorders>
            <w:shd w:val="clear" w:color="auto" w:fill="auto"/>
            <w:noWrap/>
            <w:vAlign w:val="bottom"/>
            <w:hideMark/>
          </w:tcPr>
          <w:p w14:paraId="6993FE7B"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4,673,167</w:t>
            </w:r>
          </w:p>
        </w:tc>
        <w:tc>
          <w:tcPr>
            <w:tcW w:w="1500" w:type="dxa"/>
            <w:tcBorders>
              <w:top w:val="nil"/>
              <w:left w:val="nil"/>
              <w:bottom w:val="nil"/>
              <w:right w:val="nil"/>
            </w:tcBorders>
            <w:shd w:val="clear" w:color="auto" w:fill="auto"/>
            <w:noWrap/>
            <w:vAlign w:val="bottom"/>
            <w:hideMark/>
          </w:tcPr>
          <w:p w14:paraId="6D96B542"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1,302,660</w:t>
            </w:r>
          </w:p>
        </w:tc>
        <w:tc>
          <w:tcPr>
            <w:tcW w:w="1500" w:type="dxa"/>
            <w:tcBorders>
              <w:top w:val="nil"/>
              <w:left w:val="nil"/>
              <w:bottom w:val="nil"/>
              <w:right w:val="nil"/>
            </w:tcBorders>
            <w:shd w:val="clear" w:color="auto" w:fill="auto"/>
            <w:noWrap/>
            <w:vAlign w:val="bottom"/>
            <w:hideMark/>
          </w:tcPr>
          <w:p w14:paraId="49B4997D"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1,302,660</w:t>
            </w:r>
          </w:p>
        </w:tc>
      </w:tr>
      <w:tr w:rsidR="004173B0" w:rsidRPr="004173B0" w14:paraId="68C62CD8" w14:textId="77777777" w:rsidTr="004173B0">
        <w:trPr>
          <w:trHeight w:val="210"/>
        </w:trPr>
        <w:tc>
          <w:tcPr>
            <w:tcW w:w="4760" w:type="dxa"/>
            <w:tcBorders>
              <w:top w:val="nil"/>
              <w:left w:val="nil"/>
              <w:bottom w:val="nil"/>
              <w:right w:val="nil"/>
            </w:tcBorders>
            <w:shd w:val="clear" w:color="auto" w:fill="auto"/>
            <w:noWrap/>
            <w:vAlign w:val="bottom"/>
            <w:hideMark/>
          </w:tcPr>
          <w:p w14:paraId="03098CEC" w14:textId="77777777" w:rsidR="004173B0" w:rsidRPr="004173B0" w:rsidRDefault="004173B0" w:rsidP="004173B0">
            <w:pPr>
              <w:spacing w:after="0" w:line="240" w:lineRule="auto"/>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Grants from Other Ministries</w:t>
            </w:r>
          </w:p>
        </w:tc>
        <w:tc>
          <w:tcPr>
            <w:tcW w:w="1500" w:type="dxa"/>
            <w:tcBorders>
              <w:top w:val="nil"/>
              <w:left w:val="nil"/>
              <w:bottom w:val="nil"/>
              <w:right w:val="nil"/>
            </w:tcBorders>
            <w:shd w:val="clear" w:color="auto" w:fill="auto"/>
            <w:noWrap/>
            <w:vAlign w:val="bottom"/>
            <w:hideMark/>
          </w:tcPr>
          <w:p w14:paraId="206FEFC3"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615,732</w:t>
            </w:r>
          </w:p>
        </w:tc>
        <w:tc>
          <w:tcPr>
            <w:tcW w:w="1500" w:type="dxa"/>
            <w:tcBorders>
              <w:top w:val="nil"/>
              <w:left w:val="nil"/>
              <w:bottom w:val="nil"/>
              <w:right w:val="nil"/>
            </w:tcBorders>
            <w:shd w:val="clear" w:color="auto" w:fill="auto"/>
            <w:noWrap/>
            <w:vAlign w:val="bottom"/>
            <w:hideMark/>
          </w:tcPr>
          <w:p w14:paraId="014DBDE6"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844,616</w:t>
            </w:r>
          </w:p>
        </w:tc>
        <w:tc>
          <w:tcPr>
            <w:tcW w:w="1500" w:type="dxa"/>
            <w:tcBorders>
              <w:top w:val="nil"/>
              <w:left w:val="nil"/>
              <w:bottom w:val="nil"/>
              <w:right w:val="nil"/>
            </w:tcBorders>
            <w:shd w:val="clear" w:color="auto" w:fill="auto"/>
            <w:noWrap/>
            <w:vAlign w:val="bottom"/>
            <w:hideMark/>
          </w:tcPr>
          <w:p w14:paraId="1E7AD18F"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844,616</w:t>
            </w:r>
          </w:p>
        </w:tc>
      </w:tr>
      <w:tr w:rsidR="004173B0" w:rsidRPr="004173B0" w14:paraId="545E72F8" w14:textId="77777777" w:rsidTr="004173B0">
        <w:trPr>
          <w:trHeight w:val="210"/>
        </w:trPr>
        <w:tc>
          <w:tcPr>
            <w:tcW w:w="4760" w:type="dxa"/>
            <w:tcBorders>
              <w:top w:val="nil"/>
              <w:left w:val="nil"/>
              <w:bottom w:val="nil"/>
              <w:right w:val="nil"/>
            </w:tcBorders>
            <w:shd w:val="clear" w:color="auto" w:fill="auto"/>
            <w:noWrap/>
            <w:vAlign w:val="bottom"/>
            <w:hideMark/>
          </w:tcPr>
          <w:p w14:paraId="15B35445" w14:textId="77777777" w:rsidR="004173B0" w:rsidRPr="004173B0" w:rsidRDefault="004173B0" w:rsidP="004173B0">
            <w:pPr>
              <w:spacing w:after="0" w:line="240" w:lineRule="auto"/>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School Generated Funds</w:t>
            </w:r>
          </w:p>
        </w:tc>
        <w:tc>
          <w:tcPr>
            <w:tcW w:w="1500" w:type="dxa"/>
            <w:tcBorders>
              <w:top w:val="nil"/>
              <w:left w:val="nil"/>
              <w:bottom w:val="nil"/>
              <w:right w:val="nil"/>
            </w:tcBorders>
            <w:shd w:val="clear" w:color="auto" w:fill="auto"/>
            <w:noWrap/>
            <w:vAlign w:val="bottom"/>
            <w:hideMark/>
          </w:tcPr>
          <w:p w14:paraId="1BB4852E"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771,651</w:t>
            </w:r>
          </w:p>
        </w:tc>
        <w:tc>
          <w:tcPr>
            <w:tcW w:w="1500" w:type="dxa"/>
            <w:tcBorders>
              <w:top w:val="nil"/>
              <w:left w:val="nil"/>
              <w:bottom w:val="nil"/>
              <w:right w:val="nil"/>
            </w:tcBorders>
            <w:shd w:val="clear" w:color="auto" w:fill="auto"/>
            <w:noWrap/>
            <w:vAlign w:val="bottom"/>
            <w:hideMark/>
          </w:tcPr>
          <w:p w14:paraId="7765EC55"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1,550,460</w:t>
            </w:r>
          </w:p>
        </w:tc>
        <w:tc>
          <w:tcPr>
            <w:tcW w:w="1500" w:type="dxa"/>
            <w:tcBorders>
              <w:top w:val="nil"/>
              <w:left w:val="nil"/>
              <w:bottom w:val="nil"/>
              <w:right w:val="nil"/>
            </w:tcBorders>
            <w:shd w:val="clear" w:color="auto" w:fill="auto"/>
            <w:noWrap/>
            <w:vAlign w:val="bottom"/>
            <w:hideMark/>
          </w:tcPr>
          <w:p w14:paraId="1C2862AE"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1,550,460</w:t>
            </w:r>
          </w:p>
        </w:tc>
      </w:tr>
      <w:tr w:rsidR="004173B0" w:rsidRPr="004173B0" w14:paraId="30D47D1D" w14:textId="77777777" w:rsidTr="004173B0">
        <w:trPr>
          <w:trHeight w:val="210"/>
        </w:trPr>
        <w:tc>
          <w:tcPr>
            <w:tcW w:w="4760" w:type="dxa"/>
            <w:tcBorders>
              <w:top w:val="nil"/>
              <w:left w:val="nil"/>
              <w:bottom w:val="nil"/>
              <w:right w:val="nil"/>
            </w:tcBorders>
            <w:shd w:val="clear" w:color="auto" w:fill="auto"/>
            <w:noWrap/>
            <w:vAlign w:val="bottom"/>
            <w:hideMark/>
          </w:tcPr>
          <w:p w14:paraId="466D720E" w14:textId="77777777" w:rsidR="004173B0" w:rsidRPr="004173B0" w:rsidRDefault="004173B0" w:rsidP="004173B0">
            <w:pPr>
              <w:spacing w:after="0" w:line="240" w:lineRule="auto"/>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Federal Grants</w:t>
            </w:r>
          </w:p>
        </w:tc>
        <w:tc>
          <w:tcPr>
            <w:tcW w:w="1500" w:type="dxa"/>
            <w:tcBorders>
              <w:top w:val="nil"/>
              <w:left w:val="nil"/>
              <w:bottom w:val="nil"/>
              <w:right w:val="nil"/>
            </w:tcBorders>
            <w:shd w:val="clear" w:color="auto" w:fill="auto"/>
            <w:noWrap/>
            <w:vAlign w:val="bottom"/>
            <w:hideMark/>
          </w:tcPr>
          <w:p w14:paraId="6FBD5461"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534,000</w:t>
            </w:r>
          </w:p>
        </w:tc>
        <w:tc>
          <w:tcPr>
            <w:tcW w:w="1500" w:type="dxa"/>
            <w:tcBorders>
              <w:top w:val="nil"/>
              <w:left w:val="nil"/>
              <w:bottom w:val="nil"/>
              <w:right w:val="nil"/>
            </w:tcBorders>
            <w:shd w:val="clear" w:color="auto" w:fill="auto"/>
            <w:noWrap/>
            <w:vAlign w:val="bottom"/>
            <w:hideMark/>
          </w:tcPr>
          <w:p w14:paraId="4D5B1083"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619,195</w:t>
            </w:r>
          </w:p>
        </w:tc>
        <w:tc>
          <w:tcPr>
            <w:tcW w:w="1500" w:type="dxa"/>
            <w:tcBorders>
              <w:top w:val="nil"/>
              <w:left w:val="nil"/>
              <w:bottom w:val="nil"/>
              <w:right w:val="nil"/>
            </w:tcBorders>
            <w:shd w:val="clear" w:color="auto" w:fill="auto"/>
            <w:noWrap/>
            <w:vAlign w:val="bottom"/>
            <w:hideMark/>
          </w:tcPr>
          <w:p w14:paraId="3995546C"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619,195</w:t>
            </w:r>
          </w:p>
        </w:tc>
      </w:tr>
      <w:tr w:rsidR="004173B0" w:rsidRPr="004173B0" w14:paraId="2293B865" w14:textId="77777777" w:rsidTr="004173B0">
        <w:trPr>
          <w:trHeight w:val="210"/>
        </w:trPr>
        <w:tc>
          <w:tcPr>
            <w:tcW w:w="4760" w:type="dxa"/>
            <w:tcBorders>
              <w:top w:val="nil"/>
              <w:left w:val="nil"/>
              <w:bottom w:val="nil"/>
              <w:right w:val="nil"/>
            </w:tcBorders>
            <w:shd w:val="clear" w:color="auto" w:fill="auto"/>
            <w:noWrap/>
            <w:vAlign w:val="bottom"/>
            <w:hideMark/>
          </w:tcPr>
          <w:p w14:paraId="62D09F1E" w14:textId="77777777" w:rsidR="004173B0" w:rsidRPr="004173B0" w:rsidRDefault="004173B0" w:rsidP="004173B0">
            <w:pPr>
              <w:spacing w:after="0" w:line="240" w:lineRule="auto"/>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Investment Income</w:t>
            </w:r>
          </w:p>
        </w:tc>
        <w:tc>
          <w:tcPr>
            <w:tcW w:w="1500" w:type="dxa"/>
            <w:tcBorders>
              <w:top w:val="nil"/>
              <w:left w:val="nil"/>
              <w:bottom w:val="nil"/>
              <w:right w:val="nil"/>
            </w:tcBorders>
            <w:shd w:val="clear" w:color="auto" w:fill="auto"/>
            <w:noWrap/>
            <w:vAlign w:val="bottom"/>
            <w:hideMark/>
          </w:tcPr>
          <w:p w14:paraId="78753D14"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60,000</w:t>
            </w:r>
          </w:p>
        </w:tc>
        <w:tc>
          <w:tcPr>
            <w:tcW w:w="1500" w:type="dxa"/>
            <w:tcBorders>
              <w:top w:val="nil"/>
              <w:left w:val="nil"/>
              <w:bottom w:val="nil"/>
              <w:right w:val="nil"/>
            </w:tcBorders>
            <w:shd w:val="clear" w:color="auto" w:fill="auto"/>
            <w:noWrap/>
            <w:vAlign w:val="bottom"/>
            <w:hideMark/>
          </w:tcPr>
          <w:p w14:paraId="44B519C8"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60,000</w:t>
            </w:r>
          </w:p>
        </w:tc>
        <w:tc>
          <w:tcPr>
            <w:tcW w:w="1500" w:type="dxa"/>
            <w:tcBorders>
              <w:top w:val="nil"/>
              <w:left w:val="nil"/>
              <w:bottom w:val="nil"/>
              <w:right w:val="nil"/>
            </w:tcBorders>
            <w:shd w:val="clear" w:color="auto" w:fill="auto"/>
            <w:noWrap/>
            <w:vAlign w:val="bottom"/>
            <w:hideMark/>
          </w:tcPr>
          <w:p w14:paraId="72AAEEB0"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60,000</w:t>
            </w:r>
          </w:p>
        </w:tc>
      </w:tr>
      <w:tr w:rsidR="004173B0" w:rsidRPr="004173B0" w14:paraId="689F9136" w14:textId="77777777" w:rsidTr="004173B0">
        <w:trPr>
          <w:trHeight w:val="210"/>
        </w:trPr>
        <w:tc>
          <w:tcPr>
            <w:tcW w:w="4760" w:type="dxa"/>
            <w:tcBorders>
              <w:top w:val="nil"/>
              <w:left w:val="nil"/>
              <w:bottom w:val="nil"/>
              <w:right w:val="nil"/>
            </w:tcBorders>
            <w:shd w:val="clear" w:color="auto" w:fill="auto"/>
            <w:noWrap/>
            <w:vAlign w:val="bottom"/>
            <w:hideMark/>
          </w:tcPr>
          <w:p w14:paraId="1815C83F" w14:textId="77777777" w:rsidR="004173B0" w:rsidRPr="004173B0" w:rsidRDefault="004173B0" w:rsidP="004173B0">
            <w:pPr>
              <w:spacing w:after="0" w:line="240" w:lineRule="auto"/>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Revenues from Other Sources</w:t>
            </w:r>
          </w:p>
        </w:tc>
        <w:tc>
          <w:tcPr>
            <w:tcW w:w="1500" w:type="dxa"/>
            <w:tcBorders>
              <w:top w:val="nil"/>
              <w:left w:val="nil"/>
              <w:bottom w:val="nil"/>
              <w:right w:val="nil"/>
            </w:tcBorders>
            <w:shd w:val="clear" w:color="auto" w:fill="auto"/>
            <w:noWrap/>
            <w:vAlign w:val="bottom"/>
            <w:hideMark/>
          </w:tcPr>
          <w:p w14:paraId="16AFCC4A"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1,298,816</w:t>
            </w:r>
          </w:p>
        </w:tc>
        <w:tc>
          <w:tcPr>
            <w:tcW w:w="1500" w:type="dxa"/>
            <w:tcBorders>
              <w:top w:val="nil"/>
              <w:left w:val="nil"/>
              <w:bottom w:val="nil"/>
              <w:right w:val="nil"/>
            </w:tcBorders>
            <w:shd w:val="clear" w:color="auto" w:fill="auto"/>
            <w:noWrap/>
            <w:vAlign w:val="bottom"/>
            <w:hideMark/>
          </w:tcPr>
          <w:p w14:paraId="713CFD95"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1,077,000</w:t>
            </w:r>
          </w:p>
        </w:tc>
        <w:tc>
          <w:tcPr>
            <w:tcW w:w="1500" w:type="dxa"/>
            <w:tcBorders>
              <w:top w:val="nil"/>
              <w:left w:val="nil"/>
              <w:bottom w:val="nil"/>
              <w:right w:val="nil"/>
            </w:tcBorders>
            <w:shd w:val="clear" w:color="auto" w:fill="auto"/>
            <w:noWrap/>
            <w:vAlign w:val="bottom"/>
            <w:hideMark/>
          </w:tcPr>
          <w:p w14:paraId="4BD94101"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1,077,000</w:t>
            </w:r>
          </w:p>
        </w:tc>
      </w:tr>
      <w:tr w:rsidR="004173B0" w:rsidRPr="004173B0" w14:paraId="3E00DD1D" w14:textId="77777777" w:rsidTr="004173B0">
        <w:trPr>
          <w:trHeight w:val="210"/>
        </w:trPr>
        <w:tc>
          <w:tcPr>
            <w:tcW w:w="4760" w:type="dxa"/>
            <w:tcBorders>
              <w:top w:val="nil"/>
              <w:left w:val="nil"/>
              <w:bottom w:val="nil"/>
              <w:right w:val="nil"/>
            </w:tcBorders>
            <w:shd w:val="clear" w:color="auto" w:fill="auto"/>
            <w:noWrap/>
            <w:vAlign w:val="bottom"/>
            <w:hideMark/>
          </w:tcPr>
          <w:p w14:paraId="4C92BA41" w14:textId="77777777" w:rsidR="004173B0" w:rsidRPr="004173B0" w:rsidRDefault="004173B0" w:rsidP="004173B0">
            <w:pPr>
              <w:spacing w:after="0" w:line="240" w:lineRule="auto"/>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Amortization of Deferred  Capital Contributions</w:t>
            </w:r>
          </w:p>
        </w:tc>
        <w:tc>
          <w:tcPr>
            <w:tcW w:w="1500" w:type="dxa"/>
            <w:tcBorders>
              <w:top w:val="nil"/>
              <w:left w:val="nil"/>
              <w:bottom w:val="nil"/>
              <w:right w:val="nil"/>
            </w:tcBorders>
            <w:shd w:val="clear" w:color="auto" w:fill="auto"/>
            <w:noWrap/>
            <w:vAlign w:val="bottom"/>
            <w:hideMark/>
          </w:tcPr>
          <w:p w14:paraId="34003032"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6,466,933</w:t>
            </w:r>
          </w:p>
        </w:tc>
        <w:tc>
          <w:tcPr>
            <w:tcW w:w="1500" w:type="dxa"/>
            <w:tcBorders>
              <w:top w:val="nil"/>
              <w:left w:val="nil"/>
              <w:bottom w:val="nil"/>
              <w:right w:val="nil"/>
            </w:tcBorders>
            <w:shd w:val="clear" w:color="auto" w:fill="auto"/>
            <w:noWrap/>
            <w:vAlign w:val="bottom"/>
            <w:hideMark/>
          </w:tcPr>
          <w:p w14:paraId="0645CD2D"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6,466,933</w:t>
            </w:r>
          </w:p>
        </w:tc>
        <w:tc>
          <w:tcPr>
            <w:tcW w:w="1500" w:type="dxa"/>
            <w:tcBorders>
              <w:top w:val="nil"/>
              <w:left w:val="nil"/>
              <w:bottom w:val="nil"/>
              <w:right w:val="nil"/>
            </w:tcBorders>
            <w:shd w:val="clear" w:color="auto" w:fill="auto"/>
            <w:noWrap/>
            <w:vAlign w:val="bottom"/>
            <w:hideMark/>
          </w:tcPr>
          <w:p w14:paraId="3EDCF71D"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6,466,933</w:t>
            </w:r>
          </w:p>
        </w:tc>
      </w:tr>
      <w:tr w:rsidR="004173B0" w:rsidRPr="004173B0" w14:paraId="4B1B802F" w14:textId="77777777" w:rsidTr="004173B0">
        <w:trPr>
          <w:trHeight w:val="210"/>
        </w:trPr>
        <w:tc>
          <w:tcPr>
            <w:tcW w:w="4760" w:type="dxa"/>
            <w:tcBorders>
              <w:top w:val="nil"/>
              <w:left w:val="nil"/>
              <w:bottom w:val="nil"/>
              <w:right w:val="nil"/>
            </w:tcBorders>
            <w:shd w:val="clear" w:color="auto" w:fill="auto"/>
            <w:noWrap/>
            <w:vAlign w:val="bottom"/>
            <w:hideMark/>
          </w:tcPr>
          <w:p w14:paraId="422F899C"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p>
        </w:tc>
        <w:tc>
          <w:tcPr>
            <w:tcW w:w="1500" w:type="dxa"/>
            <w:tcBorders>
              <w:top w:val="single" w:sz="4" w:space="0" w:color="auto"/>
              <w:left w:val="nil"/>
              <w:bottom w:val="single" w:sz="4" w:space="0" w:color="auto"/>
              <w:right w:val="nil"/>
            </w:tcBorders>
            <w:shd w:val="clear" w:color="auto" w:fill="auto"/>
            <w:noWrap/>
            <w:vAlign w:val="bottom"/>
            <w:hideMark/>
          </w:tcPr>
          <w:p w14:paraId="34BF0AFA"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107,302,268</w:t>
            </w:r>
          </w:p>
        </w:tc>
        <w:tc>
          <w:tcPr>
            <w:tcW w:w="1500" w:type="dxa"/>
            <w:tcBorders>
              <w:top w:val="single" w:sz="4" w:space="0" w:color="auto"/>
              <w:left w:val="nil"/>
              <w:bottom w:val="single" w:sz="4" w:space="0" w:color="auto"/>
              <w:right w:val="nil"/>
            </w:tcBorders>
            <w:shd w:val="clear" w:color="auto" w:fill="auto"/>
            <w:noWrap/>
            <w:vAlign w:val="bottom"/>
            <w:hideMark/>
          </w:tcPr>
          <w:p w14:paraId="2014E27A"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108,477,271</w:t>
            </w:r>
          </w:p>
        </w:tc>
        <w:tc>
          <w:tcPr>
            <w:tcW w:w="1500" w:type="dxa"/>
            <w:tcBorders>
              <w:top w:val="single" w:sz="4" w:space="0" w:color="auto"/>
              <w:left w:val="nil"/>
              <w:bottom w:val="single" w:sz="4" w:space="0" w:color="auto"/>
              <w:right w:val="nil"/>
            </w:tcBorders>
            <w:shd w:val="clear" w:color="auto" w:fill="auto"/>
            <w:noWrap/>
            <w:vAlign w:val="bottom"/>
            <w:hideMark/>
          </w:tcPr>
          <w:p w14:paraId="5C412B00"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107,877,271</w:t>
            </w:r>
          </w:p>
        </w:tc>
      </w:tr>
      <w:tr w:rsidR="004173B0" w:rsidRPr="004173B0" w14:paraId="7116BEC4" w14:textId="77777777" w:rsidTr="004173B0">
        <w:trPr>
          <w:trHeight w:val="210"/>
        </w:trPr>
        <w:tc>
          <w:tcPr>
            <w:tcW w:w="4760" w:type="dxa"/>
            <w:tcBorders>
              <w:top w:val="nil"/>
              <w:left w:val="nil"/>
              <w:bottom w:val="nil"/>
              <w:right w:val="nil"/>
            </w:tcBorders>
            <w:shd w:val="clear" w:color="auto" w:fill="auto"/>
            <w:noWrap/>
            <w:vAlign w:val="bottom"/>
            <w:hideMark/>
          </w:tcPr>
          <w:p w14:paraId="7911551A" w14:textId="77777777" w:rsidR="004173B0" w:rsidRPr="004173B0" w:rsidRDefault="004173B0" w:rsidP="004173B0">
            <w:pPr>
              <w:spacing w:after="0" w:line="240" w:lineRule="auto"/>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Expenditures</w:t>
            </w:r>
          </w:p>
        </w:tc>
        <w:tc>
          <w:tcPr>
            <w:tcW w:w="1500" w:type="dxa"/>
            <w:tcBorders>
              <w:top w:val="nil"/>
              <w:left w:val="nil"/>
              <w:bottom w:val="nil"/>
              <w:right w:val="nil"/>
            </w:tcBorders>
            <w:shd w:val="clear" w:color="auto" w:fill="auto"/>
            <w:noWrap/>
            <w:vAlign w:val="bottom"/>
            <w:hideMark/>
          </w:tcPr>
          <w:p w14:paraId="28FAB1F8" w14:textId="77777777" w:rsidR="004173B0" w:rsidRPr="004173B0" w:rsidRDefault="004173B0" w:rsidP="004173B0">
            <w:pPr>
              <w:spacing w:after="0" w:line="240" w:lineRule="auto"/>
              <w:rPr>
                <w:rFonts w:ascii="Verdana" w:eastAsia="Times New Roman" w:hAnsi="Verdana" w:cs="Calibri"/>
                <w:b/>
                <w:bCs/>
                <w:color w:val="000000"/>
                <w:sz w:val="16"/>
                <w:szCs w:val="16"/>
                <w:lang w:eastAsia="en-CA"/>
              </w:rPr>
            </w:pPr>
          </w:p>
        </w:tc>
        <w:tc>
          <w:tcPr>
            <w:tcW w:w="1500" w:type="dxa"/>
            <w:tcBorders>
              <w:top w:val="nil"/>
              <w:left w:val="nil"/>
              <w:bottom w:val="nil"/>
              <w:right w:val="nil"/>
            </w:tcBorders>
            <w:shd w:val="clear" w:color="auto" w:fill="auto"/>
            <w:noWrap/>
            <w:vAlign w:val="bottom"/>
            <w:hideMark/>
          </w:tcPr>
          <w:p w14:paraId="348A43BF" w14:textId="77777777" w:rsidR="004173B0" w:rsidRPr="004173B0" w:rsidRDefault="004173B0" w:rsidP="004173B0">
            <w:pPr>
              <w:spacing w:after="0" w:line="240" w:lineRule="auto"/>
              <w:rPr>
                <w:rFonts w:ascii="Times New Roman" w:eastAsia="Times New Roman" w:hAnsi="Times New Roman" w:cs="Times New Roman"/>
                <w:sz w:val="20"/>
                <w:szCs w:val="20"/>
                <w:lang w:eastAsia="en-CA"/>
              </w:rPr>
            </w:pPr>
          </w:p>
        </w:tc>
        <w:tc>
          <w:tcPr>
            <w:tcW w:w="1500" w:type="dxa"/>
            <w:tcBorders>
              <w:top w:val="nil"/>
              <w:left w:val="nil"/>
              <w:bottom w:val="nil"/>
              <w:right w:val="nil"/>
            </w:tcBorders>
            <w:shd w:val="clear" w:color="auto" w:fill="auto"/>
            <w:noWrap/>
            <w:vAlign w:val="bottom"/>
            <w:hideMark/>
          </w:tcPr>
          <w:p w14:paraId="3755C942" w14:textId="77777777" w:rsidR="004173B0" w:rsidRPr="004173B0" w:rsidRDefault="004173B0" w:rsidP="004173B0">
            <w:pPr>
              <w:spacing w:after="0" w:line="240" w:lineRule="auto"/>
              <w:rPr>
                <w:rFonts w:ascii="Times New Roman" w:eastAsia="Times New Roman" w:hAnsi="Times New Roman" w:cs="Times New Roman"/>
                <w:sz w:val="20"/>
                <w:szCs w:val="20"/>
                <w:lang w:eastAsia="en-CA"/>
              </w:rPr>
            </w:pPr>
          </w:p>
        </w:tc>
      </w:tr>
      <w:tr w:rsidR="004173B0" w:rsidRPr="004173B0" w14:paraId="7BFBAF9E" w14:textId="77777777" w:rsidTr="004173B0">
        <w:trPr>
          <w:trHeight w:val="210"/>
        </w:trPr>
        <w:tc>
          <w:tcPr>
            <w:tcW w:w="4760" w:type="dxa"/>
            <w:tcBorders>
              <w:top w:val="nil"/>
              <w:left w:val="nil"/>
              <w:bottom w:val="nil"/>
              <w:right w:val="nil"/>
            </w:tcBorders>
            <w:shd w:val="clear" w:color="auto" w:fill="auto"/>
            <w:noWrap/>
            <w:vAlign w:val="bottom"/>
            <w:hideMark/>
          </w:tcPr>
          <w:p w14:paraId="10A16496" w14:textId="77777777" w:rsidR="004173B0" w:rsidRPr="004173B0" w:rsidRDefault="004173B0" w:rsidP="004173B0">
            <w:pPr>
              <w:spacing w:after="0" w:line="240" w:lineRule="auto"/>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Admin and Governance</w:t>
            </w:r>
          </w:p>
        </w:tc>
        <w:tc>
          <w:tcPr>
            <w:tcW w:w="1500" w:type="dxa"/>
            <w:tcBorders>
              <w:top w:val="nil"/>
              <w:left w:val="nil"/>
              <w:bottom w:val="nil"/>
              <w:right w:val="nil"/>
            </w:tcBorders>
            <w:shd w:val="clear" w:color="auto" w:fill="auto"/>
            <w:noWrap/>
            <w:vAlign w:val="bottom"/>
            <w:hideMark/>
          </w:tcPr>
          <w:p w14:paraId="1A9C79E1"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5,337,519</w:t>
            </w:r>
          </w:p>
        </w:tc>
        <w:tc>
          <w:tcPr>
            <w:tcW w:w="1500" w:type="dxa"/>
            <w:tcBorders>
              <w:top w:val="nil"/>
              <w:left w:val="nil"/>
              <w:bottom w:val="nil"/>
              <w:right w:val="nil"/>
            </w:tcBorders>
            <w:shd w:val="clear" w:color="auto" w:fill="auto"/>
            <w:noWrap/>
            <w:vAlign w:val="bottom"/>
            <w:hideMark/>
          </w:tcPr>
          <w:p w14:paraId="7FFC66BB"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4,835,458</w:t>
            </w:r>
          </w:p>
        </w:tc>
        <w:tc>
          <w:tcPr>
            <w:tcW w:w="1500" w:type="dxa"/>
            <w:tcBorders>
              <w:top w:val="nil"/>
              <w:left w:val="nil"/>
              <w:bottom w:val="nil"/>
              <w:right w:val="nil"/>
            </w:tcBorders>
            <w:shd w:val="clear" w:color="auto" w:fill="auto"/>
            <w:noWrap/>
            <w:vAlign w:val="bottom"/>
            <w:hideMark/>
          </w:tcPr>
          <w:p w14:paraId="10FE0467"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5,235,458</w:t>
            </w:r>
          </w:p>
        </w:tc>
      </w:tr>
      <w:tr w:rsidR="004173B0" w:rsidRPr="004173B0" w14:paraId="72484E48" w14:textId="77777777" w:rsidTr="004173B0">
        <w:trPr>
          <w:trHeight w:val="210"/>
        </w:trPr>
        <w:tc>
          <w:tcPr>
            <w:tcW w:w="4760" w:type="dxa"/>
            <w:tcBorders>
              <w:top w:val="nil"/>
              <w:left w:val="nil"/>
              <w:bottom w:val="nil"/>
              <w:right w:val="nil"/>
            </w:tcBorders>
            <w:shd w:val="clear" w:color="auto" w:fill="auto"/>
            <w:noWrap/>
            <w:vAlign w:val="bottom"/>
            <w:hideMark/>
          </w:tcPr>
          <w:p w14:paraId="018D3631" w14:textId="77777777" w:rsidR="004173B0" w:rsidRPr="004173B0" w:rsidRDefault="004173B0" w:rsidP="004173B0">
            <w:pPr>
              <w:spacing w:after="0" w:line="240" w:lineRule="auto"/>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Transportation</w:t>
            </w:r>
          </w:p>
        </w:tc>
        <w:tc>
          <w:tcPr>
            <w:tcW w:w="1500" w:type="dxa"/>
            <w:tcBorders>
              <w:top w:val="nil"/>
              <w:left w:val="nil"/>
              <w:bottom w:val="nil"/>
              <w:right w:val="nil"/>
            </w:tcBorders>
            <w:shd w:val="clear" w:color="auto" w:fill="auto"/>
            <w:noWrap/>
            <w:vAlign w:val="bottom"/>
            <w:hideMark/>
          </w:tcPr>
          <w:p w14:paraId="21649798"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7,203,227</w:t>
            </w:r>
          </w:p>
        </w:tc>
        <w:tc>
          <w:tcPr>
            <w:tcW w:w="1500" w:type="dxa"/>
            <w:tcBorders>
              <w:top w:val="nil"/>
              <w:left w:val="nil"/>
              <w:bottom w:val="nil"/>
              <w:right w:val="nil"/>
            </w:tcBorders>
            <w:shd w:val="clear" w:color="auto" w:fill="auto"/>
            <w:noWrap/>
            <w:vAlign w:val="bottom"/>
            <w:hideMark/>
          </w:tcPr>
          <w:p w14:paraId="2B1878FD"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6,121,243</w:t>
            </w:r>
          </w:p>
        </w:tc>
        <w:tc>
          <w:tcPr>
            <w:tcW w:w="1500" w:type="dxa"/>
            <w:tcBorders>
              <w:top w:val="nil"/>
              <w:left w:val="nil"/>
              <w:bottom w:val="nil"/>
              <w:right w:val="nil"/>
            </w:tcBorders>
            <w:shd w:val="clear" w:color="auto" w:fill="auto"/>
            <w:noWrap/>
            <w:vAlign w:val="bottom"/>
            <w:hideMark/>
          </w:tcPr>
          <w:p w14:paraId="64E64DEC"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6,721,243</w:t>
            </w:r>
          </w:p>
        </w:tc>
      </w:tr>
      <w:tr w:rsidR="004173B0" w:rsidRPr="004173B0" w14:paraId="23D915D1" w14:textId="77777777" w:rsidTr="004173B0">
        <w:trPr>
          <w:trHeight w:val="210"/>
        </w:trPr>
        <w:tc>
          <w:tcPr>
            <w:tcW w:w="4760" w:type="dxa"/>
            <w:tcBorders>
              <w:top w:val="nil"/>
              <w:left w:val="nil"/>
              <w:bottom w:val="nil"/>
              <w:right w:val="nil"/>
            </w:tcBorders>
            <w:shd w:val="clear" w:color="auto" w:fill="auto"/>
            <w:noWrap/>
            <w:vAlign w:val="bottom"/>
            <w:hideMark/>
          </w:tcPr>
          <w:p w14:paraId="5AF005C2" w14:textId="77777777" w:rsidR="004173B0" w:rsidRPr="004173B0" w:rsidRDefault="004173B0" w:rsidP="004173B0">
            <w:pPr>
              <w:spacing w:after="0" w:line="240" w:lineRule="auto"/>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Instructional</w:t>
            </w:r>
          </w:p>
        </w:tc>
        <w:tc>
          <w:tcPr>
            <w:tcW w:w="1500" w:type="dxa"/>
            <w:tcBorders>
              <w:top w:val="nil"/>
              <w:left w:val="nil"/>
              <w:bottom w:val="nil"/>
              <w:right w:val="nil"/>
            </w:tcBorders>
            <w:shd w:val="clear" w:color="auto" w:fill="auto"/>
            <w:noWrap/>
            <w:vAlign w:val="bottom"/>
            <w:hideMark/>
          </w:tcPr>
          <w:p w14:paraId="4519C901"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79,447,672</w:t>
            </w:r>
          </w:p>
        </w:tc>
        <w:tc>
          <w:tcPr>
            <w:tcW w:w="1500" w:type="dxa"/>
            <w:tcBorders>
              <w:top w:val="nil"/>
              <w:left w:val="nil"/>
              <w:bottom w:val="nil"/>
              <w:right w:val="nil"/>
            </w:tcBorders>
            <w:shd w:val="clear" w:color="auto" w:fill="auto"/>
            <w:noWrap/>
            <w:vAlign w:val="bottom"/>
            <w:hideMark/>
          </w:tcPr>
          <w:p w14:paraId="094109ED"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76,359,959</w:t>
            </w:r>
          </w:p>
        </w:tc>
        <w:tc>
          <w:tcPr>
            <w:tcW w:w="1500" w:type="dxa"/>
            <w:tcBorders>
              <w:top w:val="nil"/>
              <w:left w:val="nil"/>
              <w:bottom w:val="nil"/>
              <w:right w:val="nil"/>
            </w:tcBorders>
            <w:shd w:val="clear" w:color="auto" w:fill="auto"/>
            <w:noWrap/>
            <w:vAlign w:val="bottom"/>
            <w:hideMark/>
          </w:tcPr>
          <w:p w14:paraId="1F26856B"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77,759,959</w:t>
            </w:r>
          </w:p>
        </w:tc>
      </w:tr>
      <w:tr w:rsidR="004173B0" w:rsidRPr="004173B0" w14:paraId="13BC34D4" w14:textId="77777777" w:rsidTr="004173B0">
        <w:trPr>
          <w:trHeight w:val="210"/>
        </w:trPr>
        <w:tc>
          <w:tcPr>
            <w:tcW w:w="4760" w:type="dxa"/>
            <w:tcBorders>
              <w:top w:val="nil"/>
              <w:left w:val="nil"/>
              <w:bottom w:val="nil"/>
              <w:right w:val="nil"/>
            </w:tcBorders>
            <w:shd w:val="clear" w:color="auto" w:fill="auto"/>
            <w:noWrap/>
            <w:vAlign w:val="bottom"/>
            <w:hideMark/>
          </w:tcPr>
          <w:p w14:paraId="5A26B264" w14:textId="77777777" w:rsidR="004173B0" w:rsidRPr="004173B0" w:rsidRDefault="004173B0" w:rsidP="004173B0">
            <w:pPr>
              <w:spacing w:after="0" w:line="240" w:lineRule="auto"/>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Pupil Accommodation</w:t>
            </w:r>
          </w:p>
        </w:tc>
        <w:tc>
          <w:tcPr>
            <w:tcW w:w="1500" w:type="dxa"/>
            <w:tcBorders>
              <w:top w:val="nil"/>
              <w:left w:val="nil"/>
              <w:bottom w:val="nil"/>
              <w:right w:val="nil"/>
            </w:tcBorders>
            <w:shd w:val="clear" w:color="auto" w:fill="auto"/>
            <w:noWrap/>
            <w:vAlign w:val="bottom"/>
            <w:hideMark/>
          </w:tcPr>
          <w:p w14:paraId="19967A66"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15,183,656</w:t>
            </w:r>
          </w:p>
        </w:tc>
        <w:tc>
          <w:tcPr>
            <w:tcW w:w="1500" w:type="dxa"/>
            <w:tcBorders>
              <w:top w:val="nil"/>
              <w:left w:val="nil"/>
              <w:bottom w:val="nil"/>
              <w:right w:val="nil"/>
            </w:tcBorders>
            <w:shd w:val="clear" w:color="auto" w:fill="auto"/>
            <w:noWrap/>
            <w:vAlign w:val="bottom"/>
            <w:hideMark/>
          </w:tcPr>
          <w:p w14:paraId="3CE26D40"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15,528,666</w:t>
            </w:r>
          </w:p>
        </w:tc>
        <w:tc>
          <w:tcPr>
            <w:tcW w:w="1500" w:type="dxa"/>
            <w:tcBorders>
              <w:top w:val="nil"/>
              <w:left w:val="nil"/>
              <w:bottom w:val="nil"/>
              <w:right w:val="nil"/>
            </w:tcBorders>
            <w:shd w:val="clear" w:color="auto" w:fill="auto"/>
            <w:noWrap/>
            <w:vAlign w:val="bottom"/>
            <w:hideMark/>
          </w:tcPr>
          <w:p w14:paraId="5586140E"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15,328,666</w:t>
            </w:r>
          </w:p>
        </w:tc>
      </w:tr>
      <w:tr w:rsidR="004173B0" w:rsidRPr="004173B0" w14:paraId="71D78908" w14:textId="77777777" w:rsidTr="004173B0">
        <w:trPr>
          <w:trHeight w:val="210"/>
        </w:trPr>
        <w:tc>
          <w:tcPr>
            <w:tcW w:w="4760" w:type="dxa"/>
            <w:tcBorders>
              <w:top w:val="nil"/>
              <w:left w:val="nil"/>
              <w:bottom w:val="nil"/>
              <w:right w:val="nil"/>
            </w:tcBorders>
            <w:shd w:val="clear" w:color="auto" w:fill="auto"/>
            <w:noWrap/>
            <w:vAlign w:val="bottom"/>
            <w:hideMark/>
          </w:tcPr>
          <w:p w14:paraId="36437764" w14:textId="77777777" w:rsidR="004173B0" w:rsidRPr="004173B0" w:rsidRDefault="004173B0" w:rsidP="004173B0">
            <w:pPr>
              <w:spacing w:after="0" w:line="240" w:lineRule="auto"/>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Other</w:t>
            </w:r>
          </w:p>
        </w:tc>
        <w:tc>
          <w:tcPr>
            <w:tcW w:w="1500" w:type="dxa"/>
            <w:tcBorders>
              <w:top w:val="nil"/>
              <w:left w:val="nil"/>
              <w:bottom w:val="nil"/>
              <w:right w:val="nil"/>
            </w:tcBorders>
            <w:shd w:val="clear" w:color="auto" w:fill="auto"/>
            <w:noWrap/>
            <w:vAlign w:val="bottom"/>
            <w:hideMark/>
          </w:tcPr>
          <w:p w14:paraId="55481104"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1,032,299</w:t>
            </w:r>
          </w:p>
        </w:tc>
        <w:tc>
          <w:tcPr>
            <w:tcW w:w="1500" w:type="dxa"/>
            <w:tcBorders>
              <w:top w:val="nil"/>
              <w:left w:val="nil"/>
              <w:bottom w:val="nil"/>
              <w:right w:val="nil"/>
            </w:tcBorders>
            <w:shd w:val="clear" w:color="auto" w:fill="auto"/>
            <w:noWrap/>
            <w:vAlign w:val="bottom"/>
            <w:hideMark/>
          </w:tcPr>
          <w:p w14:paraId="48C1B08D"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2,514,983</w:t>
            </w:r>
          </w:p>
        </w:tc>
        <w:tc>
          <w:tcPr>
            <w:tcW w:w="1500" w:type="dxa"/>
            <w:tcBorders>
              <w:top w:val="nil"/>
              <w:left w:val="nil"/>
              <w:bottom w:val="nil"/>
              <w:right w:val="nil"/>
            </w:tcBorders>
            <w:shd w:val="clear" w:color="auto" w:fill="auto"/>
            <w:noWrap/>
            <w:vAlign w:val="bottom"/>
            <w:hideMark/>
          </w:tcPr>
          <w:p w14:paraId="499EF2DB"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2,514,983</w:t>
            </w:r>
          </w:p>
        </w:tc>
      </w:tr>
      <w:tr w:rsidR="004173B0" w:rsidRPr="004173B0" w14:paraId="4CA5C6F7" w14:textId="77777777" w:rsidTr="004173B0">
        <w:trPr>
          <w:trHeight w:val="210"/>
        </w:trPr>
        <w:tc>
          <w:tcPr>
            <w:tcW w:w="4760" w:type="dxa"/>
            <w:tcBorders>
              <w:top w:val="nil"/>
              <w:left w:val="nil"/>
              <w:bottom w:val="nil"/>
              <w:right w:val="nil"/>
            </w:tcBorders>
            <w:shd w:val="clear" w:color="auto" w:fill="auto"/>
            <w:noWrap/>
            <w:vAlign w:val="bottom"/>
            <w:hideMark/>
          </w:tcPr>
          <w:p w14:paraId="74B0F110"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p>
        </w:tc>
        <w:tc>
          <w:tcPr>
            <w:tcW w:w="1500" w:type="dxa"/>
            <w:tcBorders>
              <w:top w:val="single" w:sz="4" w:space="0" w:color="auto"/>
              <w:left w:val="nil"/>
              <w:bottom w:val="single" w:sz="4" w:space="0" w:color="auto"/>
              <w:right w:val="nil"/>
            </w:tcBorders>
            <w:shd w:val="clear" w:color="auto" w:fill="auto"/>
            <w:noWrap/>
            <w:vAlign w:val="bottom"/>
            <w:hideMark/>
          </w:tcPr>
          <w:p w14:paraId="431CE813"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108,204,373</w:t>
            </w:r>
          </w:p>
        </w:tc>
        <w:tc>
          <w:tcPr>
            <w:tcW w:w="1500" w:type="dxa"/>
            <w:tcBorders>
              <w:top w:val="single" w:sz="4" w:space="0" w:color="auto"/>
              <w:left w:val="nil"/>
              <w:bottom w:val="single" w:sz="4" w:space="0" w:color="auto"/>
              <w:right w:val="nil"/>
            </w:tcBorders>
            <w:shd w:val="clear" w:color="auto" w:fill="auto"/>
            <w:noWrap/>
            <w:vAlign w:val="bottom"/>
            <w:hideMark/>
          </w:tcPr>
          <w:p w14:paraId="47000515"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105,360,309</w:t>
            </w:r>
          </w:p>
        </w:tc>
        <w:tc>
          <w:tcPr>
            <w:tcW w:w="1500" w:type="dxa"/>
            <w:tcBorders>
              <w:top w:val="single" w:sz="4" w:space="0" w:color="auto"/>
              <w:left w:val="nil"/>
              <w:bottom w:val="single" w:sz="4" w:space="0" w:color="auto"/>
              <w:right w:val="nil"/>
            </w:tcBorders>
            <w:shd w:val="clear" w:color="auto" w:fill="auto"/>
            <w:noWrap/>
            <w:vAlign w:val="bottom"/>
            <w:hideMark/>
          </w:tcPr>
          <w:p w14:paraId="66CFCAD9"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107,560,309</w:t>
            </w:r>
          </w:p>
        </w:tc>
      </w:tr>
      <w:tr w:rsidR="004173B0" w:rsidRPr="004173B0" w14:paraId="6EC39861" w14:textId="77777777" w:rsidTr="004173B0">
        <w:trPr>
          <w:trHeight w:val="210"/>
        </w:trPr>
        <w:tc>
          <w:tcPr>
            <w:tcW w:w="4760" w:type="dxa"/>
            <w:tcBorders>
              <w:top w:val="nil"/>
              <w:left w:val="nil"/>
              <w:bottom w:val="nil"/>
              <w:right w:val="nil"/>
            </w:tcBorders>
            <w:shd w:val="clear" w:color="auto" w:fill="auto"/>
            <w:noWrap/>
            <w:vAlign w:val="bottom"/>
            <w:hideMark/>
          </w:tcPr>
          <w:p w14:paraId="0ECECD4C"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p>
        </w:tc>
        <w:tc>
          <w:tcPr>
            <w:tcW w:w="1500" w:type="dxa"/>
            <w:tcBorders>
              <w:top w:val="nil"/>
              <w:left w:val="nil"/>
              <w:bottom w:val="nil"/>
              <w:right w:val="nil"/>
            </w:tcBorders>
            <w:shd w:val="clear" w:color="auto" w:fill="auto"/>
            <w:noWrap/>
            <w:vAlign w:val="bottom"/>
            <w:hideMark/>
          </w:tcPr>
          <w:p w14:paraId="2EA68EBD" w14:textId="77777777" w:rsidR="004173B0" w:rsidRPr="004173B0" w:rsidRDefault="004173B0" w:rsidP="004173B0">
            <w:pPr>
              <w:spacing w:after="0" w:line="240" w:lineRule="auto"/>
              <w:rPr>
                <w:rFonts w:ascii="Times New Roman" w:eastAsia="Times New Roman" w:hAnsi="Times New Roman" w:cs="Times New Roman"/>
                <w:sz w:val="20"/>
                <w:szCs w:val="20"/>
                <w:lang w:eastAsia="en-CA"/>
              </w:rPr>
            </w:pPr>
          </w:p>
        </w:tc>
        <w:tc>
          <w:tcPr>
            <w:tcW w:w="1500" w:type="dxa"/>
            <w:tcBorders>
              <w:top w:val="nil"/>
              <w:left w:val="nil"/>
              <w:bottom w:val="nil"/>
              <w:right w:val="nil"/>
            </w:tcBorders>
            <w:shd w:val="clear" w:color="auto" w:fill="auto"/>
            <w:noWrap/>
            <w:vAlign w:val="bottom"/>
            <w:hideMark/>
          </w:tcPr>
          <w:p w14:paraId="46BEAFFE" w14:textId="77777777" w:rsidR="004173B0" w:rsidRPr="004173B0" w:rsidRDefault="004173B0" w:rsidP="004173B0">
            <w:pPr>
              <w:spacing w:after="0" w:line="240" w:lineRule="auto"/>
              <w:rPr>
                <w:rFonts w:ascii="Times New Roman" w:eastAsia="Times New Roman" w:hAnsi="Times New Roman" w:cs="Times New Roman"/>
                <w:sz w:val="20"/>
                <w:szCs w:val="20"/>
                <w:lang w:eastAsia="en-CA"/>
              </w:rPr>
            </w:pPr>
          </w:p>
        </w:tc>
        <w:tc>
          <w:tcPr>
            <w:tcW w:w="1500" w:type="dxa"/>
            <w:tcBorders>
              <w:top w:val="nil"/>
              <w:left w:val="nil"/>
              <w:bottom w:val="nil"/>
              <w:right w:val="nil"/>
            </w:tcBorders>
            <w:shd w:val="clear" w:color="auto" w:fill="auto"/>
            <w:noWrap/>
            <w:vAlign w:val="bottom"/>
            <w:hideMark/>
          </w:tcPr>
          <w:p w14:paraId="1C727A1E" w14:textId="77777777" w:rsidR="004173B0" w:rsidRPr="004173B0" w:rsidRDefault="004173B0" w:rsidP="004173B0">
            <w:pPr>
              <w:spacing w:after="0" w:line="240" w:lineRule="auto"/>
              <w:rPr>
                <w:rFonts w:ascii="Times New Roman" w:eastAsia="Times New Roman" w:hAnsi="Times New Roman" w:cs="Times New Roman"/>
                <w:sz w:val="20"/>
                <w:szCs w:val="20"/>
                <w:lang w:eastAsia="en-CA"/>
              </w:rPr>
            </w:pPr>
          </w:p>
        </w:tc>
      </w:tr>
      <w:tr w:rsidR="004173B0" w:rsidRPr="004173B0" w14:paraId="5CC81A1A" w14:textId="77777777" w:rsidTr="004173B0">
        <w:trPr>
          <w:trHeight w:val="210"/>
        </w:trPr>
        <w:tc>
          <w:tcPr>
            <w:tcW w:w="4760" w:type="dxa"/>
            <w:tcBorders>
              <w:top w:val="nil"/>
              <w:left w:val="nil"/>
              <w:bottom w:val="nil"/>
              <w:right w:val="nil"/>
            </w:tcBorders>
            <w:shd w:val="clear" w:color="auto" w:fill="auto"/>
            <w:noWrap/>
            <w:vAlign w:val="bottom"/>
            <w:hideMark/>
          </w:tcPr>
          <w:p w14:paraId="60B9A604" w14:textId="77777777" w:rsidR="004173B0" w:rsidRPr="004173B0" w:rsidRDefault="004173B0" w:rsidP="004173B0">
            <w:pPr>
              <w:spacing w:after="0" w:line="240" w:lineRule="auto"/>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Surplus from Operations for Year</w:t>
            </w:r>
          </w:p>
        </w:tc>
        <w:tc>
          <w:tcPr>
            <w:tcW w:w="1500" w:type="dxa"/>
            <w:tcBorders>
              <w:top w:val="nil"/>
              <w:left w:val="nil"/>
              <w:bottom w:val="nil"/>
              <w:right w:val="nil"/>
            </w:tcBorders>
            <w:shd w:val="clear" w:color="auto" w:fill="auto"/>
            <w:noWrap/>
            <w:vAlign w:val="bottom"/>
            <w:hideMark/>
          </w:tcPr>
          <w:p w14:paraId="4D22CD21"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-902,105</w:t>
            </w:r>
          </w:p>
        </w:tc>
        <w:tc>
          <w:tcPr>
            <w:tcW w:w="1500" w:type="dxa"/>
            <w:tcBorders>
              <w:top w:val="nil"/>
              <w:left w:val="nil"/>
              <w:bottom w:val="nil"/>
              <w:right w:val="nil"/>
            </w:tcBorders>
            <w:shd w:val="clear" w:color="auto" w:fill="auto"/>
            <w:noWrap/>
            <w:vAlign w:val="bottom"/>
            <w:hideMark/>
          </w:tcPr>
          <w:p w14:paraId="4B24577C"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3,116,962</w:t>
            </w:r>
          </w:p>
        </w:tc>
        <w:tc>
          <w:tcPr>
            <w:tcW w:w="1500" w:type="dxa"/>
            <w:tcBorders>
              <w:top w:val="nil"/>
              <w:left w:val="nil"/>
              <w:bottom w:val="nil"/>
              <w:right w:val="nil"/>
            </w:tcBorders>
            <w:shd w:val="clear" w:color="auto" w:fill="auto"/>
            <w:noWrap/>
            <w:vAlign w:val="bottom"/>
            <w:hideMark/>
          </w:tcPr>
          <w:p w14:paraId="4C3D0A7C"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316,962</w:t>
            </w:r>
          </w:p>
        </w:tc>
      </w:tr>
      <w:tr w:rsidR="004173B0" w:rsidRPr="004173B0" w14:paraId="156670A7" w14:textId="77777777" w:rsidTr="004173B0">
        <w:trPr>
          <w:trHeight w:val="210"/>
        </w:trPr>
        <w:tc>
          <w:tcPr>
            <w:tcW w:w="4760" w:type="dxa"/>
            <w:tcBorders>
              <w:top w:val="nil"/>
              <w:left w:val="nil"/>
              <w:bottom w:val="nil"/>
              <w:right w:val="nil"/>
            </w:tcBorders>
            <w:shd w:val="clear" w:color="auto" w:fill="auto"/>
            <w:noWrap/>
            <w:vAlign w:val="bottom"/>
            <w:hideMark/>
          </w:tcPr>
          <w:p w14:paraId="039E363C" w14:textId="77777777" w:rsidR="004173B0" w:rsidRPr="004173B0" w:rsidRDefault="004173B0" w:rsidP="004173B0">
            <w:pPr>
              <w:spacing w:after="0" w:line="240" w:lineRule="auto"/>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Less:  Unavailable Internally Appropriated</w:t>
            </w:r>
          </w:p>
        </w:tc>
        <w:tc>
          <w:tcPr>
            <w:tcW w:w="1500" w:type="dxa"/>
            <w:tcBorders>
              <w:top w:val="nil"/>
              <w:left w:val="nil"/>
              <w:bottom w:val="nil"/>
              <w:right w:val="nil"/>
            </w:tcBorders>
            <w:shd w:val="clear" w:color="auto" w:fill="auto"/>
            <w:noWrap/>
            <w:vAlign w:val="bottom"/>
            <w:hideMark/>
          </w:tcPr>
          <w:p w14:paraId="679346A7" w14:textId="77777777" w:rsidR="004173B0" w:rsidRPr="004173B0" w:rsidRDefault="004173B0" w:rsidP="004173B0">
            <w:pPr>
              <w:spacing w:after="0" w:line="240" w:lineRule="auto"/>
              <w:rPr>
                <w:rFonts w:ascii="Verdana" w:eastAsia="Times New Roman" w:hAnsi="Verdana" w:cs="Calibri"/>
                <w:color w:val="000000"/>
                <w:sz w:val="16"/>
                <w:szCs w:val="16"/>
                <w:lang w:eastAsia="en-CA"/>
              </w:rPr>
            </w:pPr>
          </w:p>
        </w:tc>
        <w:tc>
          <w:tcPr>
            <w:tcW w:w="1500" w:type="dxa"/>
            <w:tcBorders>
              <w:top w:val="nil"/>
              <w:left w:val="nil"/>
              <w:bottom w:val="nil"/>
              <w:right w:val="nil"/>
            </w:tcBorders>
            <w:shd w:val="clear" w:color="auto" w:fill="auto"/>
            <w:noWrap/>
            <w:vAlign w:val="bottom"/>
            <w:hideMark/>
          </w:tcPr>
          <w:p w14:paraId="180A70FA" w14:textId="77777777" w:rsidR="004173B0" w:rsidRPr="004173B0" w:rsidRDefault="004173B0" w:rsidP="004173B0">
            <w:pPr>
              <w:spacing w:after="0" w:line="240" w:lineRule="auto"/>
              <w:rPr>
                <w:rFonts w:ascii="Times New Roman" w:eastAsia="Times New Roman" w:hAnsi="Times New Roman" w:cs="Times New Roman"/>
                <w:sz w:val="20"/>
                <w:szCs w:val="20"/>
                <w:lang w:eastAsia="en-CA"/>
              </w:rPr>
            </w:pPr>
          </w:p>
        </w:tc>
        <w:tc>
          <w:tcPr>
            <w:tcW w:w="1500" w:type="dxa"/>
            <w:tcBorders>
              <w:top w:val="nil"/>
              <w:left w:val="nil"/>
              <w:bottom w:val="nil"/>
              <w:right w:val="nil"/>
            </w:tcBorders>
            <w:shd w:val="clear" w:color="auto" w:fill="auto"/>
            <w:noWrap/>
            <w:vAlign w:val="bottom"/>
            <w:hideMark/>
          </w:tcPr>
          <w:p w14:paraId="639CE768"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100,000</w:t>
            </w:r>
          </w:p>
        </w:tc>
      </w:tr>
      <w:tr w:rsidR="004173B0" w:rsidRPr="004173B0" w14:paraId="742D74B2" w14:textId="77777777" w:rsidTr="004173B0">
        <w:trPr>
          <w:trHeight w:val="210"/>
        </w:trPr>
        <w:tc>
          <w:tcPr>
            <w:tcW w:w="4760" w:type="dxa"/>
            <w:tcBorders>
              <w:top w:val="nil"/>
              <w:left w:val="nil"/>
              <w:bottom w:val="nil"/>
              <w:right w:val="nil"/>
            </w:tcBorders>
            <w:shd w:val="clear" w:color="auto" w:fill="auto"/>
            <w:noWrap/>
            <w:vAlign w:val="bottom"/>
            <w:hideMark/>
          </w:tcPr>
          <w:p w14:paraId="15FC716A" w14:textId="77777777" w:rsidR="004173B0" w:rsidRPr="004173B0" w:rsidRDefault="004173B0" w:rsidP="004173B0">
            <w:pPr>
              <w:spacing w:after="0" w:line="240" w:lineRule="auto"/>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Less:  Unavailable for Compliance</w:t>
            </w:r>
          </w:p>
        </w:tc>
        <w:tc>
          <w:tcPr>
            <w:tcW w:w="1500" w:type="dxa"/>
            <w:tcBorders>
              <w:top w:val="nil"/>
              <w:left w:val="nil"/>
              <w:bottom w:val="nil"/>
              <w:right w:val="nil"/>
            </w:tcBorders>
            <w:shd w:val="clear" w:color="auto" w:fill="auto"/>
            <w:noWrap/>
            <w:vAlign w:val="bottom"/>
            <w:hideMark/>
          </w:tcPr>
          <w:p w14:paraId="1097B292"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535,290</w:t>
            </w:r>
          </w:p>
        </w:tc>
        <w:tc>
          <w:tcPr>
            <w:tcW w:w="1500" w:type="dxa"/>
            <w:tcBorders>
              <w:top w:val="nil"/>
              <w:left w:val="nil"/>
              <w:bottom w:val="nil"/>
              <w:right w:val="nil"/>
            </w:tcBorders>
            <w:shd w:val="clear" w:color="auto" w:fill="auto"/>
            <w:noWrap/>
            <w:vAlign w:val="bottom"/>
            <w:hideMark/>
          </w:tcPr>
          <w:p w14:paraId="26AA5452"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535,290</w:t>
            </w:r>
          </w:p>
        </w:tc>
        <w:tc>
          <w:tcPr>
            <w:tcW w:w="1500" w:type="dxa"/>
            <w:tcBorders>
              <w:top w:val="nil"/>
              <w:left w:val="nil"/>
              <w:bottom w:val="nil"/>
              <w:right w:val="nil"/>
            </w:tcBorders>
            <w:shd w:val="clear" w:color="auto" w:fill="auto"/>
            <w:noWrap/>
            <w:vAlign w:val="bottom"/>
            <w:hideMark/>
          </w:tcPr>
          <w:p w14:paraId="6F7199FD"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189,039</w:t>
            </w:r>
          </w:p>
        </w:tc>
      </w:tr>
      <w:tr w:rsidR="004173B0" w:rsidRPr="004173B0" w14:paraId="4B4FEB22" w14:textId="77777777" w:rsidTr="004173B0">
        <w:trPr>
          <w:trHeight w:val="225"/>
        </w:trPr>
        <w:tc>
          <w:tcPr>
            <w:tcW w:w="4760" w:type="dxa"/>
            <w:tcBorders>
              <w:top w:val="nil"/>
              <w:left w:val="nil"/>
              <w:bottom w:val="nil"/>
              <w:right w:val="nil"/>
            </w:tcBorders>
            <w:shd w:val="clear" w:color="auto" w:fill="auto"/>
            <w:noWrap/>
            <w:vAlign w:val="bottom"/>
            <w:hideMark/>
          </w:tcPr>
          <w:p w14:paraId="0EE2BF30" w14:textId="77777777" w:rsidR="004173B0" w:rsidRPr="004173B0" w:rsidRDefault="004173B0" w:rsidP="004173B0">
            <w:pPr>
              <w:spacing w:after="0" w:line="240" w:lineRule="auto"/>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Surplus for Compliance</w:t>
            </w:r>
          </w:p>
        </w:tc>
        <w:tc>
          <w:tcPr>
            <w:tcW w:w="1500" w:type="dxa"/>
            <w:tcBorders>
              <w:top w:val="single" w:sz="4" w:space="0" w:color="auto"/>
              <w:left w:val="nil"/>
              <w:bottom w:val="single" w:sz="8" w:space="0" w:color="auto"/>
              <w:right w:val="nil"/>
            </w:tcBorders>
            <w:shd w:val="clear" w:color="auto" w:fill="auto"/>
            <w:noWrap/>
            <w:vAlign w:val="bottom"/>
            <w:hideMark/>
          </w:tcPr>
          <w:p w14:paraId="2BCD44EB"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-1,437,395</w:t>
            </w:r>
          </w:p>
        </w:tc>
        <w:tc>
          <w:tcPr>
            <w:tcW w:w="1500" w:type="dxa"/>
            <w:tcBorders>
              <w:top w:val="single" w:sz="4" w:space="0" w:color="auto"/>
              <w:left w:val="nil"/>
              <w:bottom w:val="single" w:sz="8" w:space="0" w:color="auto"/>
              <w:right w:val="nil"/>
            </w:tcBorders>
            <w:shd w:val="clear" w:color="auto" w:fill="auto"/>
            <w:noWrap/>
            <w:vAlign w:val="bottom"/>
            <w:hideMark/>
          </w:tcPr>
          <w:p w14:paraId="7CD9B2D9"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2,581,672</w:t>
            </w:r>
          </w:p>
        </w:tc>
        <w:tc>
          <w:tcPr>
            <w:tcW w:w="1500" w:type="dxa"/>
            <w:tcBorders>
              <w:top w:val="single" w:sz="4" w:space="0" w:color="auto"/>
              <w:left w:val="nil"/>
              <w:bottom w:val="single" w:sz="8" w:space="0" w:color="auto"/>
              <w:right w:val="nil"/>
            </w:tcBorders>
            <w:shd w:val="clear" w:color="auto" w:fill="auto"/>
            <w:noWrap/>
            <w:vAlign w:val="bottom"/>
            <w:hideMark/>
          </w:tcPr>
          <w:p w14:paraId="46AF39F9"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27,923</w:t>
            </w:r>
          </w:p>
        </w:tc>
      </w:tr>
      <w:tr w:rsidR="004173B0" w:rsidRPr="004173B0" w14:paraId="7F0EC994" w14:textId="77777777" w:rsidTr="004173B0">
        <w:trPr>
          <w:trHeight w:val="210"/>
        </w:trPr>
        <w:tc>
          <w:tcPr>
            <w:tcW w:w="4760" w:type="dxa"/>
            <w:tcBorders>
              <w:top w:val="nil"/>
              <w:left w:val="nil"/>
              <w:bottom w:val="nil"/>
              <w:right w:val="nil"/>
            </w:tcBorders>
            <w:shd w:val="clear" w:color="auto" w:fill="auto"/>
            <w:noWrap/>
            <w:vAlign w:val="bottom"/>
            <w:hideMark/>
          </w:tcPr>
          <w:p w14:paraId="53FC63D9"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p>
        </w:tc>
        <w:tc>
          <w:tcPr>
            <w:tcW w:w="1500" w:type="dxa"/>
            <w:tcBorders>
              <w:top w:val="nil"/>
              <w:left w:val="nil"/>
              <w:bottom w:val="nil"/>
              <w:right w:val="nil"/>
            </w:tcBorders>
            <w:shd w:val="clear" w:color="auto" w:fill="auto"/>
            <w:noWrap/>
            <w:vAlign w:val="bottom"/>
            <w:hideMark/>
          </w:tcPr>
          <w:p w14:paraId="148F5646" w14:textId="77777777" w:rsidR="004173B0" w:rsidRPr="004173B0" w:rsidRDefault="004173B0" w:rsidP="004173B0">
            <w:pPr>
              <w:spacing w:after="0" w:line="240" w:lineRule="auto"/>
              <w:rPr>
                <w:rFonts w:ascii="Times New Roman" w:eastAsia="Times New Roman" w:hAnsi="Times New Roman" w:cs="Times New Roman"/>
                <w:sz w:val="20"/>
                <w:szCs w:val="20"/>
                <w:lang w:eastAsia="en-CA"/>
              </w:rPr>
            </w:pPr>
          </w:p>
        </w:tc>
        <w:tc>
          <w:tcPr>
            <w:tcW w:w="1500" w:type="dxa"/>
            <w:tcBorders>
              <w:top w:val="nil"/>
              <w:left w:val="nil"/>
              <w:bottom w:val="nil"/>
              <w:right w:val="nil"/>
            </w:tcBorders>
            <w:shd w:val="clear" w:color="auto" w:fill="auto"/>
            <w:noWrap/>
            <w:vAlign w:val="bottom"/>
            <w:hideMark/>
          </w:tcPr>
          <w:p w14:paraId="59ED781F" w14:textId="77777777" w:rsidR="004173B0" w:rsidRPr="004173B0" w:rsidRDefault="004173B0" w:rsidP="004173B0">
            <w:pPr>
              <w:spacing w:after="0" w:line="240" w:lineRule="auto"/>
              <w:rPr>
                <w:rFonts w:ascii="Times New Roman" w:eastAsia="Times New Roman" w:hAnsi="Times New Roman" w:cs="Times New Roman"/>
                <w:sz w:val="20"/>
                <w:szCs w:val="20"/>
                <w:lang w:eastAsia="en-CA"/>
              </w:rPr>
            </w:pPr>
          </w:p>
        </w:tc>
        <w:tc>
          <w:tcPr>
            <w:tcW w:w="1500" w:type="dxa"/>
            <w:tcBorders>
              <w:top w:val="nil"/>
              <w:left w:val="nil"/>
              <w:bottom w:val="nil"/>
              <w:right w:val="nil"/>
            </w:tcBorders>
            <w:shd w:val="clear" w:color="auto" w:fill="auto"/>
            <w:noWrap/>
            <w:vAlign w:val="bottom"/>
            <w:hideMark/>
          </w:tcPr>
          <w:p w14:paraId="06261C0D" w14:textId="77777777" w:rsidR="004173B0" w:rsidRPr="004173B0" w:rsidRDefault="004173B0" w:rsidP="004173B0">
            <w:pPr>
              <w:spacing w:after="0" w:line="240" w:lineRule="auto"/>
              <w:rPr>
                <w:rFonts w:ascii="Times New Roman" w:eastAsia="Times New Roman" w:hAnsi="Times New Roman" w:cs="Times New Roman"/>
                <w:sz w:val="20"/>
                <w:szCs w:val="20"/>
                <w:lang w:eastAsia="en-CA"/>
              </w:rPr>
            </w:pPr>
          </w:p>
        </w:tc>
      </w:tr>
      <w:tr w:rsidR="004173B0" w:rsidRPr="004173B0" w14:paraId="1DBEAE13" w14:textId="77777777" w:rsidTr="004173B0">
        <w:trPr>
          <w:trHeight w:val="210"/>
        </w:trPr>
        <w:tc>
          <w:tcPr>
            <w:tcW w:w="4760" w:type="dxa"/>
            <w:tcBorders>
              <w:top w:val="nil"/>
              <w:left w:val="nil"/>
              <w:bottom w:val="nil"/>
              <w:right w:val="nil"/>
            </w:tcBorders>
            <w:shd w:val="clear" w:color="auto" w:fill="auto"/>
            <w:noWrap/>
            <w:vAlign w:val="bottom"/>
            <w:hideMark/>
          </w:tcPr>
          <w:p w14:paraId="75582F12" w14:textId="77777777" w:rsidR="004173B0" w:rsidRPr="004173B0" w:rsidRDefault="004173B0" w:rsidP="004173B0">
            <w:pPr>
              <w:spacing w:after="0" w:line="240" w:lineRule="auto"/>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Opening Accumulated Surplus for Compliance</w:t>
            </w:r>
          </w:p>
        </w:tc>
        <w:tc>
          <w:tcPr>
            <w:tcW w:w="1500" w:type="dxa"/>
            <w:tcBorders>
              <w:top w:val="nil"/>
              <w:left w:val="nil"/>
              <w:bottom w:val="nil"/>
              <w:right w:val="nil"/>
            </w:tcBorders>
            <w:shd w:val="clear" w:color="auto" w:fill="auto"/>
            <w:noWrap/>
            <w:vAlign w:val="bottom"/>
            <w:hideMark/>
          </w:tcPr>
          <w:p w14:paraId="5312AC91"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7,832,920</w:t>
            </w:r>
          </w:p>
        </w:tc>
        <w:tc>
          <w:tcPr>
            <w:tcW w:w="1500" w:type="dxa"/>
            <w:tcBorders>
              <w:top w:val="nil"/>
              <w:left w:val="nil"/>
              <w:bottom w:val="nil"/>
              <w:right w:val="nil"/>
            </w:tcBorders>
            <w:shd w:val="clear" w:color="auto" w:fill="auto"/>
            <w:noWrap/>
            <w:vAlign w:val="bottom"/>
            <w:hideMark/>
          </w:tcPr>
          <w:p w14:paraId="0E73073A"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7,832,920</w:t>
            </w:r>
          </w:p>
        </w:tc>
        <w:tc>
          <w:tcPr>
            <w:tcW w:w="1500" w:type="dxa"/>
            <w:tcBorders>
              <w:top w:val="nil"/>
              <w:left w:val="nil"/>
              <w:bottom w:val="nil"/>
              <w:right w:val="nil"/>
            </w:tcBorders>
            <w:shd w:val="clear" w:color="auto" w:fill="auto"/>
            <w:noWrap/>
            <w:vAlign w:val="bottom"/>
            <w:hideMark/>
          </w:tcPr>
          <w:p w14:paraId="6DE8F9A9"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10,414,592</w:t>
            </w:r>
          </w:p>
        </w:tc>
      </w:tr>
      <w:tr w:rsidR="004173B0" w:rsidRPr="004173B0" w14:paraId="1C825924" w14:textId="77777777" w:rsidTr="004173B0">
        <w:trPr>
          <w:trHeight w:val="210"/>
        </w:trPr>
        <w:tc>
          <w:tcPr>
            <w:tcW w:w="4760" w:type="dxa"/>
            <w:tcBorders>
              <w:top w:val="nil"/>
              <w:left w:val="nil"/>
              <w:bottom w:val="nil"/>
              <w:right w:val="nil"/>
            </w:tcBorders>
            <w:shd w:val="clear" w:color="auto" w:fill="auto"/>
            <w:noWrap/>
            <w:vAlign w:val="bottom"/>
            <w:hideMark/>
          </w:tcPr>
          <w:p w14:paraId="3728D51C" w14:textId="77777777" w:rsidR="004173B0" w:rsidRPr="004173B0" w:rsidRDefault="004173B0" w:rsidP="004173B0">
            <w:pPr>
              <w:spacing w:after="0" w:line="240" w:lineRule="auto"/>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Surplus for Compliance</w:t>
            </w:r>
          </w:p>
        </w:tc>
        <w:tc>
          <w:tcPr>
            <w:tcW w:w="1500" w:type="dxa"/>
            <w:tcBorders>
              <w:top w:val="nil"/>
              <w:left w:val="nil"/>
              <w:bottom w:val="nil"/>
              <w:right w:val="nil"/>
            </w:tcBorders>
            <w:shd w:val="clear" w:color="auto" w:fill="auto"/>
            <w:noWrap/>
            <w:vAlign w:val="bottom"/>
            <w:hideMark/>
          </w:tcPr>
          <w:p w14:paraId="34847494"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-1,437,395</w:t>
            </w:r>
          </w:p>
        </w:tc>
        <w:tc>
          <w:tcPr>
            <w:tcW w:w="1500" w:type="dxa"/>
            <w:tcBorders>
              <w:top w:val="nil"/>
              <w:left w:val="nil"/>
              <w:bottom w:val="nil"/>
              <w:right w:val="nil"/>
            </w:tcBorders>
            <w:shd w:val="clear" w:color="auto" w:fill="auto"/>
            <w:noWrap/>
            <w:vAlign w:val="bottom"/>
            <w:hideMark/>
          </w:tcPr>
          <w:p w14:paraId="587930B3"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2,581,672</w:t>
            </w:r>
          </w:p>
        </w:tc>
        <w:tc>
          <w:tcPr>
            <w:tcW w:w="1500" w:type="dxa"/>
            <w:tcBorders>
              <w:top w:val="nil"/>
              <w:left w:val="nil"/>
              <w:bottom w:val="nil"/>
              <w:right w:val="nil"/>
            </w:tcBorders>
            <w:shd w:val="clear" w:color="auto" w:fill="auto"/>
            <w:noWrap/>
            <w:vAlign w:val="bottom"/>
            <w:hideMark/>
          </w:tcPr>
          <w:p w14:paraId="3C4E2230"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27,923</w:t>
            </w:r>
          </w:p>
        </w:tc>
      </w:tr>
      <w:tr w:rsidR="004173B0" w:rsidRPr="004173B0" w14:paraId="10FF84F8" w14:textId="77777777" w:rsidTr="004173B0">
        <w:trPr>
          <w:trHeight w:val="210"/>
        </w:trPr>
        <w:tc>
          <w:tcPr>
            <w:tcW w:w="4760" w:type="dxa"/>
            <w:tcBorders>
              <w:top w:val="nil"/>
              <w:left w:val="nil"/>
              <w:bottom w:val="nil"/>
              <w:right w:val="nil"/>
            </w:tcBorders>
            <w:shd w:val="clear" w:color="auto" w:fill="auto"/>
            <w:noWrap/>
            <w:vAlign w:val="bottom"/>
            <w:hideMark/>
          </w:tcPr>
          <w:p w14:paraId="4FA27B6A" w14:textId="77777777" w:rsidR="004173B0" w:rsidRPr="004173B0" w:rsidRDefault="004173B0" w:rsidP="004173B0">
            <w:pPr>
              <w:spacing w:after="0" w:line="240" w:lineRule="auto"/>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Internally Appropriated</w:t>
            </w:r>
          </w:p>
        </w:tc>
        <w:tc>
          <w:tcPr>
            <w:tcW w:w="1500" w:type="dxa"/>
            <w:tcBorders>
              <w:top w:val="nil"/>
              <w:left w:val="nil"/>
              <w:bottom w:val="single" w:sz="4" w:space="0" w:color="auto"/>
              <w:right w:val="nil"/>
            </w:tcBorders>
            <w:shd w:val="clear" w:color="auto" w:fill="auto"/>
            <w:noWrap/>
            <w:vAlign w:val="bottom"/>
            <w:hideMark/>
          </w:tcPr>
          <w:p w14:paraId="27657A56"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0</w:t>
            </w:r>
          </w:p>
        </w:tc>
        <w:tc>
          <w:tcPr>
            <w:tcW w:w="1500" w:type="dxa"/>
            <w:tcBorders>
              <w:top w:val="nil"/>
              <w:left w:val="nil"/>
              <w:bottom w:val="single" w:sz="4" w:space="0" w:color="auto"/>
              <w:right w:val="nil"/>
            </w:tcBorders>
            <w:shd w:val="clear" w:color="auto" w:fill="auto"/>
            <w:noWrap/>
            <w:vAlign w:val="bottom"/>
            <w:hideMark/>
          </w:tcPr>
          <w:p w14:paraId="7B12ED23"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0</w:t>
            </w:r>
          </w:p>
        </w:tc>
        <w:tc>
          <w:tcPr>
            <w:tcW w:w="1500" w:type="dxa"/>
            <w:tcBorders>
              <w:top w:val="nil"/>
              <w:left w:val="nil"/>
              <w:bottom w:val="single" w:sz="4" w:space="0" w:color="auto"/>
              <w:right w:val="nil"/>
            </w:tcBorders>
            <w:shd w:val="clear" w:color="auto" w:fill="auto"/>
            <w:noWrap/>
            <w:vAlign w:val="bottom"/>
            <w:hideMark/>
          </w:tcPr>
          <w:p w14:paraId="202044E3" w14:textId="77777777" w:rsidR="004173B0" w:rsidRPr="004173B0" w:rsidRDefault="004173B0" w:rsidP="004173B0">
            <w:pPr>
              <w:spacing w:after="0" w:line="240" w:lineRule="auto"/>
              <w:jc w:val="right"/>
              <w:rPr>
                <w:rFonts w:ascii="Verdana" w:eastAsia="Times New Roman" w:hAnsi="Verdana" w:cs="Calibri"/>
                <w:color w:val="000000"/>
                <w:sz w:val="16"/>
                <w:szCs w:val="16"/>
                <w:lang w:eastAsia="en-CA"/>
              </w:rPr>
            </w:pPr>
            <w:r w:rsidRPr="004173B0">
              <w:rPr>
                <w:rFonts w:ascii="Verdana" w:eastAsia="Times New Roman" w:hAnsi="Verdana" w:cs="Calibri"/>
                <w:color w:val="000000"/>
                <w:sz w:val="16"/>
                <w:szCs w:val="16"/>
                <w:lang w:eastAsia="en-CA"/>
              </w:rPr>
              <w:t>100,000</w:t>
            </w:r>
          </w:p>
        </w:tc>
      </w:tr>
      <w:tr w:rsidR="004173B0" w:rsidRPr="004173B0" w14:paraId="315129DF" w14:textId="77777777" w:rsidTr="004173B0">
        <w:trPr>
          <w:trHeight w:val="225"/>
        </w:trPr>
        <w:tc>
          <w:tcPr>
            <w:tcW w:w="4760" w:type="dxa"/>
            <w:tcBorders>
              <w:top w:val="nil"/>
              <w:left w:val="nil"/>
              <w:bottom w:val="nil"/>
              <w:right w:val="nil"/>
            </w:tcBorders>
            <w:shd w:val="clear" w:color="auto" w:fill="auto"/>
            <w:noWrap/>
            <w:vAlign w:val="bottom"/>
            <w:hideMark/>
          </w:tcPr>
          <w:p w14:paraId="359CE307" w14:textId="77777777" w:rsidR="004173B0" w:rsidRPr="004173B0" w:rsidRDefault="004173B0" w:rsidP="004173B0">
            <w:pPr>
              <w:spacing w:after="0" w:line="240" w:lineRule="auto"/>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Accumulated Available for Compliance</w:t>
            </w:r>
          </w:p>
        </w:tc>
        <w:tc>
          <w:tcPr>
            <w:tcW w:w="1500" w:type="dxa"/>
            <w:tcBorders>
              <w:top w:val="nil"/>
              <w:left w:val="nil"/>
              <w:bottom w:val="single" w:sz="8" w:space="0" w:color="auto"/>
              <w:right w:val="nil"/>
            </w:tcBorders>
            <w:shd w:val="clear" w:color="auto" w:fill="auto"/>
            <w:noWrap/>
            <w:vAlign w:val="bottom"/>
            <w:hideMark/>
          </w:tcPr>
          <w:p w14:paraId="5EBE6194"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6,395,525</w:t>
            </w:r>
          </w:p>
        </w:tc>
        <w:tc>
          <w:tcPr>
            <w:tcW w:w="1500" w:type="dxa"/>
            <w:tcBorders>
              <w:top w:val="nil"/>
              <w:left w:val="nil"/>
              <w:bottom w:val="single" w:sz="8" w:space="0" w:color="auto"/>
              <w:right w:val="nil"/>
            </w:tcBorders>
            <w:shd w:val="clear" w:color="auto" w:fill="auto"/>
            <w:noWrap/>
            <w:vAlign w:val="bottom"/>
            <w:hideMark/>
          </w:tcPr>
          <w:p w14:paraId="48B24308"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10,414,592</w:t>
            </w:r>
          </w:p>
        </w:tc>
        <w:tc>
          <w:tcPr>
            <w:tcW w:w="1500" w:type="dxa"/>
            <w:tcBorders>
              <w:top w:val="nil"/>
              <w:left w:val="nil"/>
              <w:bottom w:val="single" w:sz="8" w:space="0" w:color="auto"/>
              <w:right w:val="nil"/>
            </w:tcBorders>
            <w:shd w:val="clear" w:color="auto" w:fill="auto"/>
            <w:noWrap/>
            <w:vAlign w:val="bottom"/>
            <w:hideMark/>
          </w:tcPr>
          <w:p w14:paraId="79C262B1"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10,542,515</w:t>
            </w:r>
          </w:p>
        </w:tc>
      </w:tr>
      <w:tr w:rsidR="004173B0" w:rsidRPr="004173B0" w14:paraId="4BF273BC" w14:textId="77777777" w:rsidTr="004173B0">
        <w:trPr>
          <w:trHeight w:val="225"/>
        </w:trPr>
        <w:tc>
          <w:tcPr>
            <w:tcW w:w="4760" w:type="dxa"/>
            <w:tcBorders>
              <w:top w:val="nil"/>
              <w:left w:val="nil"/>
              <w:bottom w:val="nil"/>
              <w:right w:val="nil"/>
            </w:tcBorders>
            <w:shd w:val="clear" w:color="auto" w:fill="auto"/>
            <w:noWrap/>
            <w:vAlign w:val="bottom"/>
            <w:hideMark/>
          </w:tcPr>
          <w:p w14:paraId="11C0165F"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p>
        </w:tc>
        <w:tc>
          <w:tcPr>
            <w:tcW w:w="1500" w:type="dxa"/>
            <w:tcBorders>
              <w:top w:val="nil"/>
              <w:left w:val="nil"/>
              <w:bottom w:val="single" w:sz="8" w:space="0" w:color="auto"/>
              <w:right w:val="nil"/>
            </w:tcBorders>
            <w:shd w:val="clear" w:color="auto" w:fill="auto"/>
            <w:noWrap/>
            <w:vAlign w:val="bottom"/>
            <w:hideMark/>
          </w:tcPr>
          <w:p w14:paraId="1127037F"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5.96%</w:t>
            </w:r>
          </w:p>
        </w:tc>
        <w:tc>
          <w:tcPr>
            <w:tcW w:w="1500" w:type="dxa"/>
            <w:tcBorders>
              <w:top w:val="nil"/>
              <w:left w:val="nil"/>
              <w:bottom w:val="single" w:sz="8" w:space="0" w:color="auto"/>
              <w:right w:val="nil"/>
            </w:tcBorders>
            <w:shd w:val="clear" w:color="auto" w:fill="auto"/>
            <w:noWrap/>
            <w:vAlign w:val="bottom"/>
            <w:hideMark/>
          </w:tcPr>
          <w:p w14:paraId="20BDCF78"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9.60%</w:t>
            </w:r>
          </w:p>
        </w:tc>
        <w:tc>
          <w:tcPr>
            <w:tcW w:w="1500" w:type="dxa"/>
            <w:tcBorders>
              <w:top w:val="nil"/>
              <w:left w:val="nil"/>
              <w:bottom w:val="single" w:sz="8" w:space="0" w:color="auto"/>
              <w:right w:val="nil"/>
            </w:tcBorders>
            <w:shd w:val="clear" w:color="auto" w:fill="auto"/>
            <w:noWrap/>
            <w:vAlign w:val="bottom"/>
            <w:hideMark/>
          </w:tcPr>
          <w:p w14:paraId="2CCCE824" w14:textId="77777777" w:rsidR="004173B0" w:rsidRPr="004173B0" w:rsidRDefault="004173B0" w:rsidP="004173B0">
            <w:pPr>
              <w:spacing w:after="0" w:line="240" w:lineRule="auto"/>
              <w:jc w:val="right"/>
              <w:rPr>
                <w:rFonts w:ascii="Verdana" w:eastAsia="Times New Roman" w:hAnsi="Verdana" w:cs="Calibri"/>
                <w:b/>
                <w:bCs/>
                <w:color w:val="000000"/>
                <w:sz w:val="16"/>
                <w:szCs w:val="16"/>
                <w:lang w:eastAsia="en-CA"/>
              </w:rPr>
            </w:pPr>
            <w:r w:rsidRPr="004173B0">
              <w:rPr>
                <w:rFonts w:ascii="Verdana" w:eastAsia="Times New Roman" w:hAnsi="Verdana" w:cs="Calibri"/>
                <w:b/>
                <w:bCs/>
                <w:color w:val="000000"/>
                <w:sz w:val="16"/>
                <w:szCs w:val="16"/>
                <w:lang w:eastAsia="en-CA"/>
              </w:rPr>
              <w:t>9.77%</w:t>
            </w:r>
          </w:p>
        </w:tc>
      </w:tr>
    </w:tbl>
    <w:p w14:paraId="1A167DBE" w14:textId="28EEEA7F" w:rsidR="0044767D" w:rsidRDefault="0044767D" w:rsidP="00854FA7">
      <w:pPr>
        <w:pStyle w:val="NoSpacing"/>
        <w:rPr>
          <w:rFonts w:asciiTheme="minorHAnsi" w:eastAsiaTheme="minorHAnsi" w:hAnsiTheme="minorHAnsi" w:cstheme="minorBidi"/>
        </w:rPr>
      </w:pPr>
      <w:r>
        <w:fldChar w:fldCharType="begin"/>
      </w:r>
      <w:r>
        <w:instrText xml:space="preserve"> LINK </w:instrText>
      </w:r>
      <w:r w:rsidR="0075004D">
        <w:instrText xml:space="preserve">Excel.Sheet.12 "C:\\Users\\corallc\\Reports\\Budget Estimates\\2019 2020\\Summary Budget Comparison Analysis.xlsx" Summary!R6C1:R41C4 </w:instrText>
      </w:r>
      <w:r>
        <w:instrText xml:space="preserve">\a \f 4 \h </w:instrText>
      </w:r>
      <w:r>
        <w:fldChar w:fldCharType="separate"/>
      </w:r>
    </w:p>
    <w:p w14:paraId="2F71C02B" w14:textId="1CC0D71D" w:rsidR="00F757F3" w:rsidRPr="00F757F3" w:rsidRDefault="0044767D" w:rsidP="00F757F3">
      <w:pPr>
        <w:pStyle w:val="NoSpacing"/>
        <w:rPr>
          <w:rFonts w:asciiTheme="majorHAnsi" w:hAnsiTheme="majorHAnsi" w:cstheme="majorHAnsi"/>
          <w:lang w:val="en-US"/>
        </w:rPr>
      </w:pPr>
      <w:r>
        <w:fldChar w:fldCharType="end"/>
      </w:r>
      <w:r w:rsidR="00DD0F6E" w:rsidRPr="007B1DFC">
        <w:rPr>
          <w:rFonts w:asciiTheme="majorHAnsi" w:hAnsiTheme="majorHAnsi" w:cstheme="majorHAnsi"/>
        </w:rPr>
        <w:t xml:space="preserve">As previously presented at </w:t>
      </w:r>
      <w:r w:rsidR="009C7A7D" w:rsidRPr="007B1DFC">
        <w:rPr>
          <w:rFonts w:asciiTheme="majorHAnsi" w:hAnsiTheme="majorHAnsi" w:cstheme="majorHAnsi"/>
        </w:rPr>
        <w:t xml:space="preserve">the April </w:t>
      </w:r>
      <w:r w:rsidR="00DD0F6E" w:rsidRPr="007B1DFC">
        <w:rPr>
          <w:rFonts w:asciiTheme="majorHAnsi" w:hAnsiTheme="majorHAnsi" w:cstheme="majorHAnsi"/>
        </w:rPr>
        <w:t xml:space="preserve">board meeting as part of the variance analysis the deficit that was projected </w:t>
      </w:r>
      <w:r w:rsidR="00E90D76" w:rsidRPr="007B1DFC">
        <w:rPr>
          <w:rFonts w:asciiTheme="majorHAnsi" w:hAnsiTheme="majorHAnsi" w:cstheme="majorHAnsi"/>
        </w:rPr>
        <w:t>in 2021-22 revised estimates is not expected to materialize.</w:t>
      </w:r>
      <w:r w:rsidR="00F757F3" w:rsidRPr="007B1DFC">
        <w:rPr>
          <w:rFonts w:asciiTheme="majorHAnsi" w:hAnsiTheme="majorHAnsi" w:cstheme="majorHAnsi"/>
        </w:rPr>
        <w:t xml:space="preserve">  </w:t>
      </w:r>
      <w:r w:rsidR="00F02D57">
        <w:rPr>
          <w:rFonts w:asciiTheme="majorHAnsi" w:hAnsiTheme="majorHAnsi" w:cstheme="majorHAnsi"/>
        </w:rPr>
        <w:t>Therefore</w:t>
      </w:r>
      <w:r w:rsidR="00ED4A0A">
        <w:rPr>
          <w:rFonts w:asciiTheme="majorHAnsi" w:hAnsiTheme="majorHAnsi" w:cstheme="majorHAnsi"/>
        </w:rPr>
        <w:t>,</w:t>
      </w:r>
      <w:r w:rsidR="00F02D57">
        <w:rPr>
          <w:rFonts w:asciiTheme="majorHAnsi" w:hAnsiTheme="majorHAnsi" w:cstheme="majorHAnsi"/>
        </w:rPr>
        <w:t xml:space="preserve"> a column was added to </w:t>
      </w:r>
      <w:r w:rsidR="00ED4A0A">
        <w:rPr>
          <w:rFonts w:asciiTheme="majorHAnsi" w:hAnsiTheme="majorHAnsi" w:cstheme="majorHAnsi"/>
        </w:rPr>
        <w:t>reflect update</w:t>
      </w:r>
      <w:r w:rsidR="00332D61">
        <w:rPr>
          <w:rFonts w:asciiTheme="majorHAnsi" w:hAnsiTheme="majorHAnsi" w:cstheme="majorHAnsi"/>
        </w:rPr>
        <w:t>d</w:t>
      </w:r>
      <w:r w:rsidR="00ED4A0A">
        <w:rPr>
          <w:rFonts w:asciiTheme="majorHAnsi" w:hAnsiTheme="majorHAnsi" w:cstheme="majorHAnsi"/>
        </w:rPr>
        <w:t xml:space="preserve"> 2021-22 projections for comparative purposes</w:t>
      </w:r>
      <w:r w:rsidR="00F501B1">
        <w:rPr>
          <w:rFonts w:asciiTheme="majorHAnsi" w:hAnsiTheme="majorHAnsi" w:cstheme="majorHAnsi"/>
        </w:rPr>
        <w:t xml:space="preserve"> and to show a clearer picture o</w:t>
      </w:r>
      <w:r w:rsidR="00FB6147">
        <w:rPr>
          <w:rFonts w:asciiTheme="majorHAnsi" w:hAnsiTheme="majorHAnsi" w:cstheme="majorHAnsi"/>
        </w:rPr>
        <w:t xml:space="preserve">f the level </w:t>
      </w:r>
      <w:r w:rsidR="00FB6147">
        <w:rPr>
          <w:rFonts w:asciiTheme="majorHAnsi" w:hAnsiTheme="majorHAnsi" w:cstheme="majorHAnsi"/>
        </w:rPr>
        <w:lastRenderedPageBreak/>
        <w:t>of our surplus</w:t>
      </w:r>
      <w:r w:rsidR="00ED4A0A">
        <w:rPr>
          <w:rFonts w:asciiTheme="majorHAnsi" w:hAnsiTheme="majorHAnsi" w:cstheme="majorHAnsi"/>
        </w:rPr>
        <w:t xml:space="preserve">.  </w:t>
      </w:r>
      <w:r w:rsidR="00F757F3" w:rsidRPr="00F757F3">
        <w:rPr>
          <w:rFonts w:asciiTheme="majorHAnsi" w:hAnsiTheme="majorHAnsi" w:cstheme="majorHAnsi"/>
          <w:lang w:val="en-US"/>
        </w:rPr>
        <w:t>Based on March 31 data</w:t>
      </w:r>
      <w:r w:rsidR="00332D61">
        <w:rPr>
          <w:rFonts w:asciiTheme="majorHAnsi" w:hAnsiTheme="majorHAnsi" w:cstheme="majorHAnsi"/>
          <w:lang w:val="en-US"/>
        </w:rPr>
        <w:t>,</w:t>
      </w:r>
      <w:r w:rsidR="00296AFF" w:rsidRPr="007B1DFC">
        <w:rPr>
          <w:rFonts w:asciiTheme="majorHAnsi" w:hAnsiTheme="majorHAnsi" w:cstheme="majorHAnsi"/>
          <w:lang w:val="en-US"/>
        </w:rPr>
        <w:t xml:space="preserve"> the </w:t>
      </w:r>
      <w:r w:rsidR="00A46CAD">
        <w:rPr>
          <w:rFonts w:asciiTheme="majorHAnsi" w:hAnsiTheme="majorHAnsi" w:cstheme="majorHAnsi"/>
          <w:lang w:val="en-US"/>
        </w:rPr>
        <w:t xml:space="preserve">non-enveloped </w:t>
      </w:r>
      <w:r w:rsidR="00F757F3" w:rsidRPr="00F757F3">
        <w:rPr>
          <w:rFonts w:asciiTheme="majorHAnsi" w:hAnsiTheme="majorHAnsi" w:cstheme="majorHAnsi"/>
          <w:lang w:val="en-US"/>
        </w:rPr>
        <w:t xml:space="preserve">areas of projected underspending in the non-enveloped areas and the following </w:t>
      </w:r>
      <w:r w:rsidR="00A46CAD">
        <w:rPr>
          <w:rFonts w:asciiTheme="majorHAnsi" w:hAnsiTheme="majorHAnsi" w:cstheme="majorHAnsi"/>
          <w:lang w:val="en-US"/>
        </w:rPr>
        <w:t>are</w:t>
      </w:r>
      <w:r w:rsidR="00F757F3" w:rsidRPr="00F757F3">
        <w:rPr>
          <w:rFonts w:asciiTheme="majorHAnsi" w:hAnsiTheme="majorHAnsi" w:cstheme="majorHAnsi"/>
          <w:lang w:val="en-US"/>
        </w:rPr>
        <w:t xml:space="preserve"> the result:</w:t>
      </w:r>
    </w:p>
    <w:p w14:paraId="39E5ED57" w14:textId="77777777" w:rsidR="00F757F3" w:rsidRPr="00F757F3" w:rsidRDefault="00F757F3" w:rsidP="00F757F3">
      <w:pPr>
        <w:pStyle w:val="NoSpacing"/>
        <w:rPr>
          <w:rFonts w:asciiTheme="majorHAnsi" w:hAnsiTheme="majorHAnsi" w:cstheme="majorHAnsi"/>
          <w:lang w:val="en-US"/>
        </w:rPr>
      </w:pPr>
    </w:p>
    <w:tbl>
      <w:tblPr>
        <w:tblStyle w:val="TableGrid"/>
        <w:tblW w:w="0" w:type="auto"/>
        <w:tblLook w:val="04A0" w:firstRow="1" w:lastRow="0" w:firstColumn="1" w:lastColumn="0" w:noHBand="0" w:noVBand="1"/>
      </w:tblPr>
      <w:tblGrid>
        <w:gridCol w:w="7083"/>
        <w:gridCol w:w="2267"/>
      </w:tblGrid>
      <w:tr w:rsidR="00F757F3" w:rsidRPr="00F757F3" w14:paraId="7D0BB364" w14:textId="77777777" w:rsidTr="00E6075A">
        <w:tc>
          <w:tcPr>
            <w:tcW w:w="7083" w:type="dxa"/>
          </w:tcPr>
          <w:p w14:paraId="44CEF387"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Item</w:t>
            </w:r>
          </w:p>
        </w:tc>
        <w:tc>
          <w:tcPr>
            <w:tcW w:w="2267" w:type="dxa"/>
          </w:tcPr>
          <w:p w14:paraId="5261627A"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Amount of underspending in $000’s</w:t>
            </w:r>
          </w:p>
        </w:tc>
      </w:tr>
      <w:tr w:rsidR="00F757F3" w:rsidRPr="00F757F3" w14:paraId="7255288C" w14:textId="77777777" w:rsidTr="00E6075A">
        <w:tc>
          <w:tcPr>
            <w:tcW w:w="7083" w:type="dxa"/>
          </w:tcPr>
          <w:p w14:paraId="44EDF1B3"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Enrolment increased since Revised Estimates.</w:t>
            </w:r>
          </w:p>
        </w:tc>
        <w:tc>
          <w:tcPr>
            <w:tcW w:w="2267" w:type="dxa"/>
          </w:tcPr>
          <w:p w14:paraId="775E28EE"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600</w:t>
            </w:r>
          </w:p>
        </w:tc>
      </w:tr>
      <w:tr w:rsidR="00F757F3" w:rsidRPr="00F757F3" w14:paraId="1E4E9D6C" w14:textId="77777777" w:rsidTr="00E6075A">
        <w:tc>
          <w:tcPr>
            <w:tcW w:w="7083" w:type="dxa"/>
          </w:tcPr>
          <w:p w14:paraId="480166E3"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Administration due to no bargaining being undertaken this year along with several vacant positions or position not filled for the entire year.</w:t>
            </w:r>
          </w:p>
        </w:tc>
        <w:tc>
          <w:tcPr>
            <w:tcW w:w="2267" w:type="dxa"/>
          </w:tcPr>
          <w:p w14:paraId="78D4FF2F"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400</w:t>
            </w:r>
          </w:p>
        </w:tc>
      </w:tr>
      <w:tr w:rsidR="00F757F3" w:rsidRPr="00F757F3" w14:paraId="54DD7125" w14:textId="77777777" w:rsidTr="00E6075A">
        <w:tc>
          <w:tcPr>
            <w:tcW w:w="7083" w:type="dxa"/>
          </w:tcPr>
          <w:p w14:paraId="48F9E8B6"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Facilities due to long-term absences, vacant positions and PPF funding received after Revised Estimates.</w:t>
            </w:r>
          </w:p>
        </w:tc>
        <w:tc>
          <w:tcPr>
            <w:tcW w:w="2267" w:type="dxa"/>
          </w:tcPr>
          <w:p w14:paraId="36617BF7"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500</w:t>
            </w:r>
          </w:p>
        </w:tc>
      </w:tr>
      <w:tr w:rsidR="00F757F3" w:rsidRPr="00F757F3" w14:paraId="118E603E" w14:textId="77777777" w:rsidTr="00E6075A">
        <w:tc>
          <w:tcPr>
            <w:tcW w:w="7083" w:type="dxa"/>
          </w:tcPr>
          <w:p w14:paraId="4E4A7E0B"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Transportation due to closures and route cancellations (as a result of COVID positive cases and driver shortage) – some of which will likely be clawed back at year end.</w:t>
            </w:r>
          </w:p>
        </w:tc>
        <w:tc>
          <w:tcPr>
            <w:tcW w:w="2267" w:type="dxa"/>
          </w:tcPr>
          <w:p w14:paraId="1AD25187"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600</w:t>
            </w:r>
          </w:p>
        </w:tc>
      </w:tr>
      <w:tr w:rsidR="00F757F3" w:rsidRPr="00F757F3" w14:paraId="5FDBA9F8" w14:textId="77777777" w:rsidTr="00E6075A">
        <w:tc>
          <w:tcPr>
            <w:tcW w:w="7083" w:type="dxa"/>
          </w:tcPr>
          <w:p w14:paraId="1E0EE6D8"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Instructional salaries and supply (teachers and ECE’s) due to absences that were unable to be filled due to shortages of available staff– this averaged 20-30 positions every day – some were filled with unqualified staff but generally these absences were covered at the school level by staff that was present.  (To place in context this works out to 98% of teacher salary is projected to be spent and 70% of budgeted supply costs.)</w:t>
            </w:r>
          </w:p>
        </w:tc>
        <w:tc>
          <w:tcPr>
            <w:tcW w:w="2267" w:type="dxa"/>
          </w:tcPr>
          <w:p w14:paraId="3CBAA869"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1,500</w:t>
            </w:r>
          </w:p>
        </w:tc>
      </w:tr>
      <w:tr w:rsidR="00F757F3" w:rsidRPr="00F757F3" w14:paraId="5F4A51F7" w14:textId="77777777" w:rsidTr="00E6075A">
        <w:tc>
          <w:tcPr>
            <w:tcW w:w="7083" w:type="dxa"/>
          </w:tcPr>
          <w:p w14:paraId="09148988" w14:textId="5E350F73"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 xml:space="preserve">Miscellaneous other expenses related to school staff absences, inability to participate in professional development opportunities throughout the year – although staff </w:t>
            </w:r>
          </w:p>
        </w:tc>
        <w:tc>
          <w:tcPr>
            <w:tcW w:w="2267" w:type="dxa"/>
          </w:tcPr>
          <w:p w14:paraId="73ECD23D"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400</w:t>
            </w:r>
          </w:p>
        </w:tc>
      </w:tr>
      <w:tr w:rsidR="00F757F3" w:rsidRPr="00F757F3" w14:paraId="49864E91" w14:textId="77777777" w:rsidTr="00E6075A">
        <w:tc>
          <w:tcPr>
            <w:tcW w:w="7083" w:type="dxa"/>
          </w:tcPr>
          <w:p w14:paraId="41374879"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Total anticipated increase in reserves at Year End</w:t>
            </w:r>
          </w:p>
        </w:tc>
        <w:tc>
          <w:tcPr>
            <w:tcW w:w="2267" w:type="dxa"/>
          </w:tcPr>
          <w:p w14:paraId="00E41856"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4,000</w:t>
            </w:r>
          </w:p>
        </w:tc>
      </w:tr>
    </w:tbl>
    <w:p w14:paraId="4080FAC7" w14:textId="77777777" w:rsidR="00F757F3" w:rsidRPr="00F757F3" w:rsidRDefault="00F757F3" w:rsidP="00F757F3">
      <w:pPr>
        <w:pStyle w:val="NoSpacing"/>
        <w:rPr>
          <w:rFonts w:asciiTheme="majorHAnsi" w:hAnsiTheme="majorHAnsi" w:cstheme="majorHAnsi"/>
          <w:lang w:val="en-US"/>
        </w:rPr>
      </w:pPr>
    </w:p>
    <w:p w14:paraId="2F216B07"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The impact of this on our bottom line is as follows:</w:t>
      </w:r>
    </w:p>
    <w:p w14:paraId="3013B101"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The year-end position would be 95% of non-enveloped budget would be spent.</w:t>
      </w:r>
    </w:p>
    <w:p w14:paraId="7E7A3572"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Surplus from Operations for the Year would change from a deficit of $1M to a surplus of $3M.</w:t>
      </w:r>
    </w:p>
    <w:p w14:paraId="31615E8F"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Surplus for Compliance would change from a deficit of $1.4M to a surplus of $2.5M.</w:t>
      </w:r>
    </w:p>
    <w:p w14:paraId="373D2A91" w14:textId="0E0987AB" w:rsidR="00F80288" w:rsidRPr="00F80288" w:rsidRDefault="00F757F3" w:rsidP="00F80288">
      <w:pPr>
        <w:pStyle w:val="NoSpacing"/>
        <w:numPr>
          <w:ilvl w:val="0"/>
          <w:numId w:val="9"/>
        </w:numPr>
        <w:rPr>
          <w:rFonts w:asciiTheme="majorHAnsi" w:hAnsiTheme="majorHAnsi" w:cstheme="majorHAnsi"/>
          <w:sz w:val="24"/>
          <w:szCs w:val="24"/>
          <w:lang w:val="en-US"/>
        </w:rPr>
      </w:pPr>
      <w:r w:rsidRPr="00F757F3">
        <w:rPr>
          <w:rFonts w:asciiTheme="majorHAnsi" w:hAnsiTheme="majorHAnsi" w:cstheme="majorHAnsi"/>
          <w:lang w:val="en-US"/>
        </w:rPr>
        <w:t xml:space="preserve">Accumulated Surplus for Compliance would increase from $6M to $10M, 9% of our total revenues, which is not unreasonable in the current conditions and will continue to provide the board the flexibility to appropriate funds again next year towards system investments to improve our </w:t>
      </w:r>
      <w:r w:rsidRPr="00F80288">
        <w:rPr>
          <w:rFonts w:asciiTheme="majorHAnsi" w:hAnsiTheme="majorHAnsi" w:cstheme="majorHAnsi"/>
          <w:lang w:val="en-US"/>
        </w:rPr>
        <w:t>student experiences.</w:t>
      </w:r>
      <w:r w:rsidR="00F80288" w:rsidRPr="00F80288">
        <w:rPr>
          <w:rFonts w:asciiTheme="majorHAnsi" w:hAnsiTheme="majorHAnsi" w:cstheme="majorHAnsi"/>
          <w:lang w:val="en-US"/>
        </w:rPr>
        <w:t xml:space="preserve"> Once the budget is approved, plans will be underway to ensure that appropriated funds </w:t>
      </w:r>
      <w:r w:rsidR="00F80288" w:rsidRPr="00F80288">
        <w:rPr>
          <w:rFonts w:asciiTheme="majorHAnsi" w:hAnsiTheme="majorHAnsi" w:cstheme="majorHAnsi"/>
          <w:sz w:val="24"/>
          <w:szCs w:val="24"/>
          <w:lang w:val="en-US"/>
        </w:rPr>
        <w:t xml:space="preserve">remain student focused guided by our multi-year strategic plan and </w:t>
      </w:r>
    </w:p>
    <w:p w14:paraId="7F756F6F" w14:textId="14803C97" w:rsidR="00F757F3" w:rsidRPr="00F80288" w:rsidRDefault="00F80288" w:rsidP="00A46CAD">
      <w:pPr>
        <w:pStyle w:val="NoSpacing"/>
        <w:ind w:firstLine="720"/>
        <w:rPr>
          <w:rFonts w:asciiTheme="majorHAnsi" w:hAnsiTheme="majorHAnsi" w:cstheme="majorHAnsi"/>
          <w:lang w:val="en-US"/>
        </w:rPr>
      </w:pPr>
      <w:r w:rsidRPr="00F80288">
        <w:rPr>
          <w:rFonts w:asciiTheme="majorHAnsi" w:hAnsiTheme="majorHAnsi" w:cstheme="majorHAnsi"/>
          <w:sz w:val="24"/>
          <w:szCs w:val="24"/>
          <w:lang w:val="en-US"/>
        </w:rPr>
        <w:t>enhance deliverables to students</w:t>
      </w:r>
      <w:r>
        <w:rPr>
          <w:rFonts w:asciiTheme="majorHAnsi" w:hAnsiTheme="majorHAnsi" w:cstheme="majorHAnsi"/>
          <w:sz w:val="24"/>
          <w:szCs w:val="24"/>
          <w:lang w:val="en-US"/>
        </w:rPr>
        <w:t>.</w:t>
      </w:r>
    </w:p>
    <w:p w14:paraId="653C48FF" w14:textId="77777777" w:rsidR="00A46CAD" w:rsidRPr="00F80288" w:rsidRDefault="00A46CAD" w:rsidP="00F757F3">
      <w:pPr>
        <w:pStyle w:val="NoSpacing"/>
        <w:rPr>
          <w:rFonts w:asciiTheme="majorHAnsi" w:hAnsiTheme="majorHAnsi" w:cstheme="majorHAnsi"/>
          <w:lang w:val="en-US"/>
        </w:rPr>
      </w:pPr>
    </w:p>
    <w:p w14:paraId="70D8FC11" w14:textId="1EEFB718" w:rsid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 xml:space="preserve">Notwithstanding the ability to appropriate next year the senior team has identified </w:t>
      </w:r>
      <w:r w:rsidR="00271173" w:rsidRPr="007B1DFC">
        <w:rPr>
          <w:rFonts w:asciiTheme="majorHAnsi" w:hAnsiTheme="majorHAnsi" w:cstheme="majorHAnsi"/>
          <w:lang w:val="en-US"/>
        </w:rPr>
        <w:t xml:space="preserve">and the board approved </w:t>
      </w:r>
      <w:r w:rsidRPr="00F757F3">
        <w:rPr>
          <w:rFonts w:asciiTheme="majorHAnsi" w:hAnsiTheme="majorHAnsi" w:cstheme="majorHAnsi"/>
          <w:lang w:val="en-US"/>
        </w:rPr>
        <w:t xml:space="preserve">the following additional investments that </w:t>
      </w:r>
      <w:r w:rsidR="00F80288">
        <w:rPr>
          <w:rFonts w:asciiTheme="majorHAnsi" w:hAnsiTheme="majorHAnsi" w:cstheme="majorHAnsi"/>
          <w:lang w:val="en-US"/>
        </w:rPr>
        <w:t xml:space="preserve">have been </w:t>
      </w:r>
      <w:r w:rsidRPr="00F757F3">
        <w:rPr>
          <w:rFonts w:asciiTheme="majorHAnsi" w:hAnsiTheme="majorHAnsi" w:cstheme="majorHAnsi"/>
          <w:lang w:val="en-US"/>
        </w:rPr>
        <w:t>undertake</w:t>
      </w:r>
      <w:r w:rsidR="00F80288">
        <w:rPr>
          <w:rFonts w:asciiTheme="majorHAnsi" w:hAnsiTheme="majorHAnsi" w:cstheme="majorHAnsi"/>
          <w:lang w:val="en-US"/>
        </w:rPr>
        <w:t>n</w:t>
      </w:r>
      <w:r w:rsidRPr="00F757F3">
        <w:rPr>
          <w:rFonts w:asciiTheme="majorHAnsi" w:hAnsiTheme="majorHAnsi" w:cstheme="majorHAnsi"/>
          <w:lang w:val="en-US"/>
        </w:rPr>
        <w:t xml:space="preserve"> prior to the end of the fiscal year </w:t>
      </w:r>
      <w:r w:rsidR="00F80288">
        <w:rPr>
          <w:rFonts w:asciiTheme="majorHAnsi" w:hAnsiTheme="majorHAnsi" w:cstheme="majorHAnsi"/>
          <w:lang w:val="en-US"/>
        </w:rPr>
        <w:t>which</w:t>
      </w:r>
      <w:r w:rsidRPr="00F757F3">
        <w:rPr>
          <w:rFonts w:asciiTheme="majorHAnsi" w:hAnsiTheme="majorHAnsi" w:cstheme="majorHAnsi"/>
          <w:lang w:val="en-US"/>
        </w:rPr>
        <w:t xml:space="preserve"> will reduce our surplus levels:</w:t>
      </w:r>
    </w:p>
    <w:p w14:paraId="6D4FD9C6" w14:textId="077C9035" w:rsidR="00A46CAD" w:rsidRDefault="00A46CAD" w:rsidP="00F757F3">
      <w:pPr>
        <w:pStyle w:val="NoSpacing"/>
        <w:rPr>
          <w:rFonts w:asciiTheme="majorHAnsi" w:hAnsiTheme="majorHAnsi" w:cstheme="majorHAnsi"/>
          <w:lang w:val="en-US"/>
        </w:rPr>
      </w:pPr>
    </w:p>
    <w:tbl>
      <w:tblPr>
        <w:tblStyle w:val="TableGrid"/>
        <w:tblW w:w="0" w:type="auto"/>
        <w:tblLook w:val="04A0" w:firstRow="1" w:lastRow="0" w:firstColumn="1" w:lastColumn="0" w:noHBand="0" w:noVBand="1"/>
      </w:tblPr>
      <w:tblGrid>
        <w:gridCol w:w="7083"/>
        <w:gridCol w:w="2267"/>
      </w:tblGrid>
      <w:tr w:rsidR="00F757F3" w:rsidRPr="00F757F3" w14:paraId="79C63826" w14:textId="77777777" w:rsidTr="00E6075A">
        <w:tc>
          <w:tcPr>
            <w:tcW w:w="7083" w:type="dxa"/>
          </w:tcPr>
          <w:p w14:paraId="0E71B8E2"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Item</w:t>
            </w:r>
          </w:p>
        </w:tc>
        <w:tc>
          <w:tcPr>
            <w:tcW w:w="2267" w:type="dxa"/>
          </w:tcPr>
          <w:p w14:paraId="3BCE70B2"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Amount of underspending in $000’s</w:t>
            </w:r>
          </w:p>
        </w:tc>
      </w:tr>
      <w:tr w:rsidR="00F757F3" w:rsidRPr="00F757F3" w14:paraId="5282F894" w14:textId="77777777" w:rsidTr="00E6075A">
        <w:tc>
          <w:tcPr>
            <w:tcW w:w="7083" w:type="dxa"/>
          </w:tcPr>
          <w:p w14:paraId="446501B1"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Advance timelines to increase our device to student ratio to a minimum of 2:1.</w:t>
            </w:r>
          </w:p>
        </w:tc>
        <w:tc>
          <w:tcPr>
            <w:tcW w:w="2267" w:type="dxa"/>
          </w:tcPr>
          <w:p w14:paraId="71FEAEC0"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300-500</w:t>
            </w:r>
          </w:p>
        </w:tc>
      </w:tr>
      <w:tr w:rsidR="00F757F3" w:rsidRPr="00F757F3" w14:paraId="29D18206" w14:textId="77777777" w:rsidTr="00E6075A">
        <w:tc>
          <w:tcPr>
            <w:tcW w:w="7083" w:type="dxa"/>
          </w:tcPr>
          <w:p w14:paraId="05873749"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Address deficiencies with school yard perimeter fencing and Exterior Doors (to be funded by unused facilities funding)</w:t>
            </w:r>
          </w:p>
        </w:tc>
        <w:tc>
          <w:tcPr>
            <w:tcW w:w="2267" w:type="dxa"/>
          </w:tcPr>
          <w:p w14:paraId="2F60A61D"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150</w:t>
            </w:r>
          </w:p>
        </w:tc>
      </w:tr>
      <w:tr w:rsidR="00F757F3" w:rsidRPr="00F757F3" w14:paraId="6B3EA1EF" w14:textId="77777777" w:rsidTr="00E6075A">
        <w:tc>
          <w:tcPr>
            <w:tcW w:w="7083" w:type="dxa"/>
          </w:tcPr>
          <w:p w14:paraId="6575F1B3"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lastRenderedPageBreak/>
              <w:t>Purchase replacement custodial equipment (to be funded by unused facilities funding)</w:t>
            </w:r>
          </w:p>
        </w:tc>
        <w:tc>
          <w:tcPr>
            <w:tcW w:w="2267" w:type="dxa"/>
          </w:tcPr>
          <w:p w14:paraId="78C651D7"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100</w:t>
            </w:r>
          </w:p>
        </w:tc>
      </w:tr>
      <w:tr w:rsidR="00F757F3" w:rsidRPr="00F757F3" w14:paraId="1BCEC8AC" w14:textId="77777777" w:rsidTr="00E6075A">
        <w:tc>
          <w:tcPr>
            <w:tcW w:w="7083" w:type="dxa"/>
          </w:tcPr>
          <w:p w14:paraId="5CD73F57"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Travers Street exterior building repairs (roofing, fencing, parking lot) -(to be funded by unused administration and facilities funding)</w:t>
            </w:r>
          </w:p>
        </w:tc>
        <w:tc>
          <w:tcPr>
            <w:tcW w:w="2267" w:type="dxa"/>
          </w:tcPr>
          <w:p w14:paraId="48A5CDA3" w14:textId="77777777" w:rsidR="00F757F3" w:rsidRPr="00F757F3" w:rsidRDefault="00F757F3" w:rsidP="00F757F3">
            <w:pPr>
              <w:pStyle w:val="NoSpacing"/>
              <w:rPr>
                <w:rFonts w:asciiTheme="majorHAnsi" w:hAnsiTheme="majorHAnsi" w:cstheme="majorHAnsi"/>
                <w:lang w:val="en-US"/>
              </w:rPr>
            </w:pPr>
            <w:r w:rsidRPr="00F757F3">
              <w:rPr>
                <w:rFonts w:asciiTheme="majorHAnsi" w:hAnsiTheme="majorHAnsi" w:cstheme="majorHAnsi"/>
                <w:lang w:val="en-US"/>
              </w:rPr>
              <w:t>450</w:t>
            </w:r>
          </w:p>
        </w:tc>
      </w:tr>
    </w:tbl>
    <w:p w14:paraId="4136EFD1" w14:textId="66F53BE2" w:rsidR="007D53EF" w:rsidRDefault="007D53EF" w:rsidP="00854FA7">
      <w:pPr>
        <w:pStyle w:val="NoSpacing"/>
      </w:pPr>
    </w:p>
    <w:p w14:paraId="71B904DB" w14:textId="5CDED990" w:rsidR="003F54E9" w:rsidRDefault="00F55D66" w:rsidP="00F55D66">
      <w:pPr>
        <w:pStyle w:val="NoSpacing"/>
        <w:rPr>
          <w:rFonts w:asciiTheme="majorHAnsi" w:hAnsiTheme="majorHAnsi" w:cstheme="majorHAnsi"/>
          <w:lang w:val="en-US"/>
        </w:rPr>
      </w:pPr>
      <w:bookmarkStart w:id="12" w:name="_Toc484167774"/>
      <w:r>
        <w:rPr>
          <w:rFonts w:asciiTheme="majorHAnsi" w:hAnsiTheme="majorHAnsi" w:cstheme="majorHAnsi"/>
          <w:lang w:val="en-US"/>
        </w:rPr>
        <w:t xml:space="preserve">The projections for 2022-23 </w:t>
      </w:r>
      <w:r w:rsidR="004528A4">
        <w:rPr>
          <w:rFonts w:asciiTheme="majorHAnsi" w:hAnsiTheme="majorHAnsi" w:cstheme="majorHAnsi"/>
          <w:lang w:val="en-US"/>
        </w:rPr>
        <w:t>show a balanced budget</w:t>
      </w:r>
      <w:r w:rsidR="00DA49C5">
        <w:rPr>
          <w:rFonts w:asciiTheme="majorHAnsi" w:hAnsiTheme="majorHAnsi" w:cstheme="majorHAnsi"/>
          <w:lang w:val="en-US"/>
        </w:rPr>
        <w:t xml:space="preserve"> with an internal app</w:t>
      </w:r>
      <w:r w:rsidR="00952E49">
        <w:rPr>
          <w:rFonts w:asciiTheme="majorHAnsi" w:hAnsiTheme="majorHAnsi" w:cstheme="majorHAnsi"/>
          <w:lang w:val="en-US"/>
        </w:rPr>
        <w:t>ropriation of $100K set aside for future device refresh.</w:t>
      </w:r>
    </w:p>
    <w:p w14:paraId="6C4D63AB" w14:textId="6FF588B6" w:rsidR="00952E49" w:rsidRDefault="00952E49" w:rsidP="00F55D66">
      <w:pPr>
        <w:pStyle w:val="NoSpacing"/>
        <w:rPr>
          <w:rFonts w:asciiTheme="majorHAnsi" w:hAnsiTheme="majorHAnsi" w:cstheme="majorHAnsi"/>
          <w:lang w:val="en-US"/>
        </w:rPr>
      </w:pPr>
    </w:p>
    <w:p w14:paraId="398A960B" w14:textId="18C582B3" w:rsidR="00952E49" w:rsidRPr="00F55D66" w:rsidRDefault="002257A7" w:rsidP="00F55D66">
      <w:pPr>
        <w:pStyle w:val="NoSpacing"/>
        <w:rPr>
          <w:rFonts w:asciiTheme="majorHAnsi" w:hAnsiTheme="majorHAnsi" w:cstheme="majorHAnsi"/>
          <w:lang w:val="en-US"/>
        </w:rPr>
      </w:pPr>
      <w:r>
        <w:rPr>
          <w:rFonts w:asciiTheme="majorHAnsi" w:hAnsiTheme="majorHAnsi" w:cstheme="majorHAnsi"/>
          <w:lang w:val="en-US"/>
        </w:rPr>
        <w:t xml:space="preserve">Note. </w:t>
      </w:r>
      <w:r w:rsidR="00952E49">
        <w:rPr>
          <w:rFonts w:asciiTheme="majorHAnsi" w:hAnsiTheme="majorHAnsi" w:cstheme="majorHAnsi"/>
          <w:lang w:val="en-US"/>
        </w:rPr>
        <w:t xml:space="preserve">As this report goes on </w:t>
      </w:r>
      <w:r w:rsidR="009B1E70">
        <w:rPr>
          <w:rFonts w:asciiTheme="majorHAnsi" w:hAnsiTheme="majorHAnsi" w:cstheme="majorHAnsi"/>
          <w:lang w:val="en-US"/>
        </w:rPr>
        <w:t>it will</w:t>
      </w:r>
      <w:r w:rsidR="00952E49">
        <w:rPr>
          <w:rFonts w:asciiTheme="majorHAnsi" w:hAnsiTheme="majorHAnsi" w:cstheme="majorHAnsi"/>
          <w:lang w:val="en-US"/>
        </w:rPr>
        <w:t xml:space="preserve"> explain </w:t>
      </w:r>
      <w:r w:rsidR="00141CC7">
        <w:rPr>
          <w:rFonts w:asciiTheme="majorHAnsi" w:hAnsiTheme="majorHAnsi" w:cstheme="majorHAnsi"/>
          <w:lang w:val="en-US"/>
        </w:rPr>
        <w:t>changes between 2021-22 revised estimates and 2022-23 estimates budget</w:t>
      </w:r>
      <w:r w:rsidR="009B1E70">
        <w:rPr>
          <w:rFonts w:asciiTheme="majorHAnsi" w:hAnsiTheme="majorHAnsi" w:cstheme="majorHAnsi"/>
          <w:lang w:val="en-US"/>
        </w:rPr>
        <w:t xml:space="preserve"> (not </w:t>
      </w:r>
      <w:r w:rsidR="0020160B">
        <w:rPr>
          <w:rFonts w:asciiTheme="majorHAnsi" w:hAnsiTheme="majorHAnsi" w:cstheme="majorHAnsi"/>
          <w:lang w:val="en-US"/>
        </w:rPr>
        <w:t>the 2021-22 updated budget, as it is not the official budget).</w:t>
      </w:r>
    </w:p>
    <w:p w14:paraId="242FF10F" w14:textId="77777777" w:rsidR="003F54E9" w:rsidRDefault="003F54E9" w:rsidP="00E95A7C">
      <w:pPr>
        <w:pStyle w:val="Heading2"/>
        <w:rPr>
          <w:rFonts w:eastAsia="Calibri"/>
          <w:lang w:val="en-US"/>
        </w:rPr>
      </w:pPr>
    </w:p>
    <w:p w14:paraId="40E3AF12" w14:textId="61FC3952" w:rsidR="00635C08" w:rsidRPr="00635C08" w:rsidRDefault="00635C08" w:rsidP="00E95A7C">
      <w:pPr>
        <w:pStyle w:val="Heading2"/>
        <w:rPr>
          <w:rFonts w:eastAsia="Calibri"/>
          <w:lang w:val="en-US"/>
        </w:rPr>
      </w:pPr>
      <w:bookmarkStart w:id="13" w:name="_Toc104628861"/>
      <w:r w:rsidRPr="00635C08">
        <w:rPr>
          <w:rFonts w:eastAsia="Calibri"/>
          <w:lang w:val="en-US"/>
        </w:rPr>
        <w:t>Revenues</w:t>
      </w:r>
      <w:bookmarkEnd w:id="12"/>
      <w:bookmarkEnd w:id="13"/>
    </w:p>
    <w:p w14:paraId="596F8A32" w14:textId="76ACEC0C" w:rsidR="00635C08" w:rsidRPr="00066A9C" w:rsidRDefault="00635C08" w:rsidP="00635C08">
      <w:pPr>
        <w:pStyle w:val="NoSpacing"/>
        <w:rPr>
          <w:rFonts w:asciiTheme="majorHAnsi" w:hAnsiTheme="majorHAnsi" w:cstheme="majorHAnsi"/>
          <w:sz w:val="24"/>
          <w:szCs w:val="24"/>
          <w:lang w:val="en-US"/>
        </w:rPr>
      </w:pPr>
      <w:r w:rsidRPr="00066A9C">
        <w:rPr>
          <w:rFonts w:asciiTheme="majorHAnsi" w:hAnsiTheme="majorHAnsi" w:cstheme="majorHAnsi"/>
          <w:sz w:val="24"/>
          <w:szCs w:val="24"/>
          <w:lang w:val="en-US"/>
        </w:rPr>
        <w:t xml:space="preserve">School boards in Ontario have one main funding source, the </w:t>
      </w:r>
      <w:r w:rsidR="00CE2B95" w:rsidRPr="00066A9C">
        <w:rPr>
          <w:rFonts w:asciiTheme="majorHAnsi" w:hAnsiTheme="majorHAnsi" w:cstheme="majorHAnsi"/>
          <w:sz w:val="24"/>
          <w:szCs w:val="24"/>
          <w:lang w:val="en-US"/>
        </w:rPr>
        <w:t>province</w:t>
      </w:r>
      <w:r w:rsidRPr="00066A9C">
        <w:rPr>
          <w:rFonts w:asciiTheme="majorHAnsi" w:hAnsiTheme="majorHAnsi" w:cstheme="majorHAnsi"/>
          <w:sz w:val="24"/>
          <w:szCs w:val="24"/>
          <w:lang w:val="en-US"/>
        </w:rPr>
        <w:t xml:space="preserve">, though part of this is satisfied by a residential/commercial tax that is determined by the </w:t>
      </w:r>
      <w:r w:rsidR="00CE2B95" w:rsidRPr="00066A9C">
        <w:rPr>
          <w:rFonts w:asciiTheme="majorHAnsi" w:hAnsiTheme="majorHAnsi" w:cstheme="majorHAnsi"/>
          <w:sz w:val="24"/>
          <w:szCs w:val="24"/>
          <w:lang w:val="en-US"/>
        </w:rPr>
        <w:t>province</w:t>
      </w:r>
      <w:r w:rsidRPr="00066A9C">
        <w:rPr>
          <w:rFonts w:asciiTheme="majorHAnsi" w:hAnsiTheme="majorHAnsi" w:cstheme="majorHAnsi"/>
          <w:sz w:val="24"/>
          <w:szCs w:val="24"/>
          <w:lang w:val="en-US"/>
        </w:rPr>
        <w:t xml:space="preserve"> and comes from local taxpayers.  School boards calculate grant allocations in accordance with Provincial regulations in four broad categories – Foundation Grants, School Foundation Grants, Special Purpose Grants and Pupil Accommodation Grants.  Tax revenue is calculated according to </w:t>
      </w:r>
      <w:r w:rsidR="00116932" w:rsidRPr="00066A9C">
        <w:rPr>
          <w:rFonts w:asciiTheme="majorHAnsi" w:hAnsiTheme="majorHAnsi" w:cstheme="majorHAnsi"/>
          <w:sz w:val="24"/>
          <w:szCs w:val="24"/>
          <w:lang w:val="en-US"/>
        </w:rPr>
        <w:t>provincially determined</w:t>
      </w:r>
      <w:r w:rsidRPr="00066A9C">
        <w:rPr>
          <w:rFonts w:asciiTheme="majorHAnsi" w:hAnsiTheme="majorHAnsi" w:cstheme="majorHAnsi"/>
          <w:sz w:val="24"/>
          <w:szCs w:val="24"/>
          <w:lang w:val="en-US"/>
        </w:rPr>
        <w:t xml:space="preserve"> formulae and this amount is deducted from total grant allocations, as calculated, to form the net contribution by the </w:t>
      </w:r>
      <w:r w:rsidR="00CE2B95" w:rsidRPr="00066A9C">
        <w:rPr>
          <w:rFonts w:asciiTheme="majorHAnsi" w:hAnsiTheme="majorHAnsi" w:cstheme="majorHAnsi"/>
          <w:sz w:val="24"/>
          <w:szCs w:val="24"/>
          <w:lang w:val="en-US"/>
        </w:rPr>
        <w:t>province</w:t>
      </w:r>
      <w:r w:rsidRPr="00066A9C">
        <w:rPr>
          <w:rFonts w:asciiTheme="majorHAnsi" w:hAnsiTheme="majorHAnsi" w:cstheme="majorHAnsi"/>
          <w:sz w:val="24"/>
          <w:szCs w:val="24"/>
          <w:lang w:val="en-US"/>
        </w:rPr>
        <w:t>.  Each municipality is informed by the Ministry of Finance as to the portion of local taxes that it must forward to school boards in their jurisdiction.</w:t>
      </w:r>
    </w:p>
    <w:p w14:paraId="2715817F" w14:textId="77777777" w:rsidR="00635C08" w:rsidRPr="00066A9C" w:rsidRDefault="00635C08" w:rsidP="00635C08">
      <w:pPr>
        <w:pStyle w:val="NoSpacing"/>
        <w:rPr>
          <w:rFonts w:asciiTheme="majorHAnsi" w:hAnsiTheme="majorHAnsi" w:cstheme="majorHAnsi"/>
          <w:sz w:val="24"/>
          <w:szCs w:val="24"/>
          <w:lang w:val="en-US"/>
        </w:rPr>
      </w:pPr>
    </w:p>
    <w:p w14:paraId="458BB9F9" w14:textId="77777777" w:rsidR="00635C08" w:rsidRPr="00066A9C" w:rsidRDefault="00635C08" w:rsidP="00E95A7C">
      <w:pPr>
        <w:pStyle w:val="Heading2"/>
        <w:rPr>
          <w:rFonts w:eastAsia="Calibri"/>
          <w:lang w:val="en-US"/>
        </w:rPr>
      </w:pPr>
      <w:bookmarkStart w:id="14" w:name="_Toc104628862"/>
      <w:r w:rsidRPr="00066A9C">
        <w:rPr>
          <w:rFonts w:eastAsia="Calibri"/>
          <w:lang w:val="en-US"/>
        </w:rPr>
        <w:t>Grants for Student Needs</w:t>
      </w:r>
      <w:bookmarkEnd w:id="14"/>
    </w:p>
    <w:p w14:paraId="1C6A514A" w14:textId="170E28C9" w:rsidR="00635C08" w:rsidRDefault="00635C08" w:rsidP="00635C08">
      <w:pPr>
        <w:pStyle w:val="NoSpacing"/>
        <w:rPr>
          <w:rFonts w:asciiTheme="majorHAnsi" w:hAnsiTheme="majorHAnsi" w:cstheme="majorHAnsi"/>
          <w:sz w:val="24"/>
          <w:szCs w:val="24"/>
          <w:lang w:val="en-US"/>
        </w:rPr>
      </w:pPr>
      <w:r w:rsidRPr="00066A9C">
        <w:rPr>
          <w:rFonts w:asciiTheme="majorHAnsi" w:hAnsiTheme="majorHAnsi" w:cstheme="majorHAnsi"/>
          <w:sz w:val="24"/>
          <w:szCs w:val="24"/>
          <w:lang w:val="en-US"/>
        </w:rPr>
        <w:t xml:space="preserve">These grant allocations are calculated based on four broad categories.  </w:t>
      </w:r>
      <w:r w:rsidR="00CE2B95" w:rsidRPr="00066A9C">
        <w:rPr>
          <w:rFonts w:asciiTheme="majorHAnsi" w:hAnsiTheme="majorHAnsi" w:cstheme="majorHAnsi"/>
          <w:sz w:val="24"/>
          <w:szCs w:val="24"/>
          <w:lang w:val="en-US"/>
        </w:rPr>
        <w:t>Overall,</w:t>
      </w:r>
      <w:r w:rsidRPr="00066A9C">
        <w:rPr>
          <w:rFonts w:asciiTheme="majorHAnsi" w:hAnsiTheme="majorHAnsi" w:cstheme="majorHAnsi"/>
          <w:sz w:val="24"/>
          <w:szCs w:val="24"/>
          <w:lang w:val="en-US"/>
        </w:rPr>
        <w:t xml:space="preserve"> the boa</w:t>
      </w:r>
      <w:r w:rsidR="00D04B7F" w:rsidRPr="00066A9C">
        <w:rPr>
          <w:rFonts w:asciiTheme="majorHAnsi" w:hAnsiTheme="majorHAnsi" w:cstheme="majorHAnsi"/>
          <w:sz w:val="24"/>
          <w:szCs w:val="24"/>
          <w:lang w:val="en-US"/>
        </w:rPr>
        <w:t>rd experienced a</w:t>
      </w:r>
      <w:r w:rsidR="00DB11BC">
        <w:rPr>
          <w:rFonts w:asciiTheme="majorHAnsi" w:hAnsiTheme="majorHAnsi" w:cstheme="majorHAnsi"/>
          <w:sz w:val="24"/>
          <w:szCs w:val="24"/>
          <w:lang w:val="en-US"/>
        </w:rPr>
        <w:t>n</w:t>
      </w:r>
      <w:r w:rsidR="00D04B7F" w:rsidRPr="00066A9C">
        <w:rPr>
          <w:rFonts w:asciiTheme="majorHAnsi" w:hAnsiTheme="majorHAnsi" w:cstheme="majorHAnsi"/>
          <w:sz w:val="24"/>
          <w:szCs w:val="24"/>
          <w:lang w:val="en-US"/>
        </w:rPr>
        <w:t xml:space="preserve"> </w:t>
      </w:r>
      <w:r w:rsidR="00116932">
        <w:rPr>
          <w:rFonts w:asciiTheme="majorHAnsi" w:hAnsiTheme="majorHAnsi" w:cstheme="majorHAnsi"/>
          <w:sz w:val="24"/>
          <w:szCs w:val="24"/>
          <w:lang w:val="en-US"/>
        </w:rPr>
        <w:t>increase</w:t>
      </w:r>
      <w:r w:rsidR="000B21B2">
        <w:rPr>
          <w:rFonts w:asciiTheme="majorHAnsi" w:hAnsiTheme="majorHAnsi" w:cstheme="majorHAnsi"/>
          <w:sz w:val="24"/>
          <w:szCs w:val="24"/>
          <w:lang w:val="en-US"/>
        </w:rPr>
        <w:t xml:space="preserve"> in revenues due to</w:t>
      </w:r>
      <w:r w:rsidR="00332F14">
        <w:rPr>
          <w:rFonts w:asciiTheme="majorHAnsi" w:hAnsiTheme="majorHAnsi" w:cstheme="majorHAnsi"/>
          <w:sz w:val="24"/>
          <w:szCs w:val="24"/>
          <w:lang w:val="en-US"/>
        </w:rPr>
        <w:t xml:space="preserve"> an increase</w:t>
      </w:r>
      <w:r w:rsidR="005B08D2">
        <w:rPr>
          <w:rFonts w:asciiTheme="majorHAnsi" w:hAnsiTheme="majorHAnsi" w:cstheme="majorHAnsi"/>
          <w:sz w:val="24"/>
          <w:szCs w:val="24"/>
          <w:lang w:val="en-US"/>
        </w:rPr>
        <w:t xml:space="preserve"> in</w:t>
      </w:r>
      <w:r w:rsidR="00DB3FD3">
        <w:rPr>
          <w:rFonts w:asciiTheme="majorHAnsi" w:hAnsiTheme="majorHAnsi" w:cstheme="majorHAnsi"/>
          <w:sz w:val="24"/>
          <w:szCs w:val="24"/>
          <w:lang w:val="en-US"/>
        </w:rPr>
        <w:t xml:space="preserve"> projected enrolment</w:t>
      </w:r>
      <w:r w:rsidR="00332F14">
        <w:rPr>
          <w:rFonts w:asciiTheme="majorHAnsi" w:hAnsiTheme="majorHAnsi" w:cstheme="majorHAnsi"/>
          <w:sz w:val="24"/>
          <w:szCs w:val="24"/>
          <w:lang w:val="en-US"/>
        </w:rPr>
        <w:t xml:space="preserve">, increases in salary benchmarks related to </w:t>
      </w:r>
      <w:r w:rsidR="00DB11BC">
        <w:rPr>
          <w:rFonts w:asciiTheme="majorHAnsi" w:hAnsiTheme="majorHAnsi" w:cstheme="majorHAnsi"/>
          <w:sz w:val="24"/>
          <w:szCs w:val="24"/>
          <w:lang w:val="en-US"/>
        </w:rPr>
        <w:t>collective agreement negotiations</w:t>
      </w:r>
      <w:r w:rsidR="00D1483F">
        <w:rPr>
          <w:rFonts w:asciiTheme="majorHAnsi" w:hAnsiTheme="majorHAnsi" w:cstheme="majorHAnsi"/>
          <w:sz w:val="24"/>
          <w:szCs w:val="24"/>
          <w:lang w:val="en-US"/>
        </w:rPr>
        <w:t xml:space="preserve">, funding provided </w:t>
      </w:r>
      <w:r w:rsidR="00330FCF">
        <w:rPr>
          <w:rFonts w:asciiTheme="majorHAnsi" w:hAnsiTheme="majorHAnsi" w:cstheme="majorHAnsi"/>
          <w:sz w:val="24"/>
          <w:szCs w:val="24"/>
          <w:lang w:val="en-US"/>
        </w:rPr>
        <w:t>as Supports for Students</w:t>
      </w:r>
      <w:r w:rsidR="00AA1BA2">
        <w:rPr>
          <w:rFonts w:asciiTheme="majorHAnsi" w:hAnsiTheme="majorHAnsi" w:cstheme="majorHAnsi"/>
          <w:sz w:val="24"/>
          <w:szCs w:val="24"/>
          <w:lang w:val="en-US"/>
        </w:rPr>
        <w:t>,</w:t>
      </w:r>
      <w:r w:rsidR="00E37C65">
        <w:rPr>
          <w:rFonts w:asciiTheme="majorHAnsi" w:hAnsiTheme="majorHAnsi" w:cstheme="majorHAnsi"/>
          <w:sz w:val="24"/>
          <w:szCs w:val="24"/>
          <w:lang w:val="en-US"/>
        </w:rPr>
        <w:t xml:space="preserve"> </w:t>
      </w:r>
      <w:r w:rsidR="00AA1BA2">
        <w:rPr>
          <w:rFonts w:asciiTheme="majorHAnsi" w:hAnsiTheme="majorHAnsi" w:cstheme="majorHAnsi"/>
          <w:sz w:val="24"/>
          <w:szCs w:val="24"/>
          <w:lang w:val="en-US"/>
        </w:rPr>
        <w:t>former PPF’s rolling into the GSN,</w:t>
      </w:r>
      <w:r w:rsidR="00E37C65">
        <w:rPr>
          <w:rFonts w:asciiTheme="majorHAnsi" w:hAnsiTheme="majorHAnsi" w:cstheme="majorHAnsi"/>
          <w:sz w:val="24"/>
          <w:szCs w:val="24"/>
          <w:lang w:val="en-US"/>
        </w:rPr>
        <w:t xml:space="preserve"> </w:t>
      </w:r>
      <w:r w:rsidR="00330FCF">
        <w:rPr>
          <w:rFonts w:asciiTheme="majorHAnsi" w:hAnsiTheme="majorHAnsi" w:cstheme="majorHAnsi"/>
          <w:sz w:val="24"/>
          <w:szCs w:val="24"/>
          <w:lang w:val="en-US"/>
        </w:rPr>
        <w:t>as well as minimal funding</w:t>
      </w:r>
      <w:r w:rsidR="00F55A85">
        <w:rPr>
          <w:rFonts w:asciiTheme="majorHAnsi" w:hAnsiTheme="majorHAnsi" w:cstheme="majorHAnsi"/>
          <w:sz w:val="24"/>
          <w:szCs w:val="24"/>
          <w:lang w:val="en-US"/>
        </w:rPr>
        <w:t xml:space="preserve"> increases to deal with the</w:t>
      </w:r>
      <w:r w:rsidR="00521D96">
        <w:rPr>
          <w:rFonts w:asciiTheme="majorHAnsi" w:hAnsiTheme="majorHAnsi" w:cstheme="majorHAnsi"/>
          <w:sz w:val="24"/>
          <w:szCs w:val="24"/>
          <w:lang w:val="en-US"/>
        </w:rPr>
        <w:t xml:space="preserve"> costs related to</w:t>
      </w:r>
      <w:r w:rsidR="00862F63">
        <w:rPr>
          <w:rFonts w:asciiTheme="majorHAnsi" w:hAnsiTheme="majorHAnsi" w:cstheme="majorHAnsi"/>
          <w:sz w:val="24"/>
          <w:szCs w:val="24"/>
          <w:lang w:val="en-US"/>
        </w:rPr>
        <w:t xml:space="preserve"> e</w:t>
      </w:r>
      <w:r w:rsidR="00F55A85">
        <w:rPr>
          <w:rFonts w:asciiTheme="majorHAnsi" w:hAnsiTheme="majorHAnsi" w:cstheme="majorHAnsi"/>
          <w:sz w:val="24"/>
          <w:szCs w:val="24"/>
          <w:lang w:val="en-US"/>
        </w:rPr>
        <w:t>ffects of COVID-19.</w:t>
      </w:r>
    </w:p>
    <w:p w14:paraId="1D8F96C2" w14:textId="28975753" w:rsidR="00D64173" w:rsidRDefault="00D64173" w:rsidP="00635C08">
      <w:pPr>
        <w:pStyle w:val="NoSpacing"/>
        <w:rPr>
          <w:rFonts w:asciiTheme="majorHAnsi" w:hAnsiTheme="majorHAnsi" w:cstheme="majorHAnsi"/>
          <w:sz w:val="24"/>
          <w:szCs w:val="24"/>
          <w:lang w:val="en-US"/>
        </w:rPr>
      </w:pPr>
    </w:p>
    <w:p w14:paraId="380CEA11" w14:textId="77777777" w:rsidR="00635C08" w:rsidRPr="00066A9C" w:rsidRDefault="00635C08" w:rsidP="00635C08">
      <w:pPr>
        <w:pStyle w:val="Heading4"/>
        <w:rPr>
          <w:rFonts w:eastAsia="Calibri" w:cstheme="majorHAnsi"/>
          <w:sz w:val="24"/>
          <w:szCs w:val="24"/>
          <w:lang w:val="en-US"/>
        </w:rPr>
      </w:pPr>
      <w:r w:rsidRPr="00066A9C">
        <w:rPr>
          <w:rFonts w:eastAsia="Calibri" w:cstheme="majorHAnsi"/>
          <w:sz w:val="24"/>
          <w:szCs w:val="24"/>
          <w:lang w:val="en-US"/>
        </w:rPr>
        <w:t>Pupil Foundation Grant</w:t>
      </w:r>
    </w:p>
    <w:p w14:paraId="627C67F0" w14:textId="2412C2B4" w:rsidR="00635C08" w:rsidRPr="00066A9C" w:rsidRDefault="00635C08" w:rsidP="00635C08">
      <w:pPr>
        <w:pStyle w:val="NoSpacing"/>
        <w:rPr>
          <w:rFonts w:asciiTheme="majorHAnsi" w:hAnsiTheme="majorHAnsi" w:cstheme="majorHAnsi"/>
          <w:sz w:val="24"/>
          <w:szCs w:val="24"/>
          <w:lang w:val="en-US"/>
        </w:rPr>
      </w:pPr>
      <w:r w:rsidRPr="00066A9C">
        <w:rPr>
          <w:rFonts w:asciiTheme="majorHAnsi" w:hAnsiTheme="majorHAnsi" w:cstheme="majorHAnsi"/>
          <w:sz w:val="24"/>
          <w:szCs w:val="24"/>
          <w:lang w:val="en-US"/>
        </w:rPr>
        <w:t>The Foundation grant is a per pupil allocation that supports the elements of a classroom education that are required by, and generally common to, all students (</w:t>
      </w:r>
      <w:proofErr w:type="spellStart"/>
      <w:r w:rsidRPr="00066A9C">
        <w:rPr>
          <w:rFonts w:asciiTheme="majorHAnsi" w:hAnsiTheme="majorHAnsi" w:cstheme="majorHAnsi"/>
          <w:sz w:val="24"/>
          <w:szCs w:val="24"/>
          <w:lang w:val="en-US"/>
        </w:rPr>
        <w:t>ie</w:t>
      </w:r>
      <w:proofErr w:type="spellEnd"/>
      <w:r w:rsidRPr="00066A9C">
        <w:rPr>
          <w:rFonts w:asciiTheme="majorHAnsi" w:hAnsiTheme="majorHAnsi" w:cstheme="majorHAnsi"/>
          <w:sz w:val="24"/>
          <w:szCs w:val="24"/>
          <w:lang w:val="en-US"/>
        </w:rPr>
        <w:t xml:space="preserve">. Teachers, ECE’s, Library and Guidance, EA’s, etc. as well as textbooks and learning materials). </w:t>
      </w:r>
      <w:r w:rsidR="00D04B7F" w:rsidRPr="00066A9C">
        <w:rPr>
          <w:rFonts w:asciiTheme="majorHAnsi" w:hAnsiTheme="majorHAnsi" w:cstheme="majorHAnsi"/>
          <w:sz w:val="24"/>
          <w:szCs w:val="24"/>
          <w:lang w:val="en-US"/>
        </w:rPr>
        <w:t xml:space="preserve">This allocation </w:t>
      </w:r>
      <w:r w:rsidR="00862F66">
        <w:rPr>
          <w:rFonts w:asciiTheme="majorHAnsi" w:hAnsiTheme="majorHAnsi" w:cstheme="majorHAnsi"/>
          <w:sz w:val="24"/>
          <w:szCs w:val="24"/>
          <w:lang w:val="en-US"/>
        </w:rPr>
        <w:t>in</w:t>
      </w:r>
      <w:r w:rsidR="00467C9B">
        <w:rPr>
          <w:rFonts w:asciiTheme="majorHAnsi" w:hAnsiTheme="majorHAnsi" w:cstheme="majorHAnsi"/>
          <w:sz w:val="24"/>
          <w:szCs w:val="24"/>
          <w:lang w:val="en-US"/>
        </w:rPr>
        <w:t xml:space="preserve">creased by </w:t>
      </w:r>
      <w:r w:rsidR="00D77114">
        <w:rPr>
          <w:rFonts w:asciiTheme="majorHAnsi" w:hAnsiTheme="majorHAnsi" w:cstheme="majorHAnsi"/>
          <w:sz w:val="24"/>
          <w:szCs w:val="24"/>
          <w:lang w:val="en-US"/>
        </w:rPr>
        <w:t xml:space="preserve">just </w:t>
      </w:r>
      <w:r w:rsidR="00405E9E">
        <w:rPr>
          <w:rFonts w:asciiTheme="majorHAnsi" w:hAnsiTheme="majorHAnsi" w:cstheme="majorHAnsi"/>
          <w:sz w:val="24"/>
          <w:szCs w:val="24"/>
          <w:lang w:val="en-US"/>
        </w:rPr>
        <w:t>under</w:t>
      </w:r>
      <w:r w:rsidR="00D77114">
        <w:rPr>
          <w:rFonts w:asciiTheme="majorHAnsi" w:hAnsiTheme="majorHAnsi" w:cstheme="majorHAnsi"/>
          <w:sz w:val="24"/>
          <w:szCs w:val="24"/>
          <w:lang w:val="en-US"/>
        </w:rPr>
        <w:t xml:space="preserve"> $</w:t>
      </w:r>
      <w:r w:rsidR="00862F66">
        <w:rPr>
          <w:rFonts w:asciiTheme="majorHAnsi" w:hAnsiTheme="majorHAnsi" w:cstheme="majorHAnsi"/>
          <w:sz w:val="24"/>
          <w:szCs w:val="24"/>
          <w:lang w:val="en-US"/>
        </w:rPr>
        <w:t>3</w:t>
      </w:r>
      <w:r w:rsidR="00405E9E">
        <w:rPr>
          <w:rFonts w:asciiTheme="majorHAnsi" w:hAnsiTheme="majorHAnsi" w:cstheme="majorHAnsi"/>
          <w:sz w:val="24"/>
          <w:szCs w:val="24"/>
          <w:lang w:val="en-US"/>
        </w:rPr>
        <w:t>00</w:t>
      </w:r>
      <w:r w:rsidR="006718A6">
        <w:rPr>
          <w:rFonts w:asciiTheme="majorHAnsi" w:hAnsiTheme="majorHAnsi" w:cstheme="majorHAnsi"/>
          <w:sz w:val="24"/>
          <w:szCs w:val="24"/>
          <w:lang w:val="en-US"/>
        </w:rPr>
        <w:t>K</w:t>
      </w:r>
      <w:r w:rsidR="00D04B7F" w:rsidRPr="00066A9C">
        <w:rPr>
          <w:rFonts w:asciiTheme="majorHAnsi" w:hAnsiTheme="majorHAnsi" w:cstheme="majorHAnsi"/>
          <w:sz w:val="24"/>
          <w:szCs w:val="24"/>
          <w:lang w:val="en-US"/>
        </w:rPr>
        <w:t xml:space="preserve"> </w:t>
      </w:r>
      <w:r w:rsidR="00405E9E">
        <w:rPr>
          <w:rFonts w:asciiTheme="majorHAnsi" w:hAnsiTheme="majorHAnsi" w:cstheme="majorHAnsi"/>
          <w:sz w:val="24"/>
          <w:szCs w:val="24"/>
          <w:lang w:val="en-US"/>
        </w:rPr>
        <w:t>mainly</w:t>
      </w:r>
      <w:r w:rsidR="00D04B7F" w:rsidRPr="00066A9C">
        <w:rPr>
          <w:rFonts w:asciiTheme="majorHAnsi" w:hAnsiTheme="majorHAnsi" w:cstheme="majorHAnsi"/>
          <w:sz w:val="24"/>
          <w:szCs w:val="24"/>
          <w:lang w:val="en-US"/>
        </w:rPr>
        <w:t xml:space="preserve"> </w:t>
      </w:r>
      <w:r w:rsidR="007103C4">
        <w:rPr>
          <w:rFonts w:asciiTheme="majorHAnsi" w:hAnsiTheme="majorHAnsi" w:cstheme="majorHAnsi"/>
          <w:sz w:val="24"/>
          <w:szCs w:val="24"/>
          <w:lang w:val="en-US"/>
        </w:rPr>
        <w:t xml:space="preserve">due </w:t>
      </w:r>
      <w:r w:rsidR="00D04B7F" w:rsidRPr="00066A9C">
        <w:rPr>
          <w:rFonts w:asciiTheme="majorHAnsi" w:hAnsiTheme="majorHAnsi" w:cstheme="majorHAnsi"/>
          <w:sz w:val="24"/>
          <w:szCs w:val="24"/>
          <w:lang w:val="en-US"/>
        </w:rPr>
        <w:t xml:space="preserve">to </w:t>
      </w:r>
      <w:proofErr w:type="spellStart"/>
      <w:r w:rsidR="00405E9E">
        <w:rPr>
          <w:rFonts w:asciiTheme="majorHAnsi" w:hAnsiTheme="majorHAnsi" w:cstheme="majorHAnsi"/>
          <w:sz w:val="24"/>
          <w:szCs w:val="24"/>
          <w:lang w:val="en-US"/>
        </w:rPr>
        <w:t>a</w:t>
      </w:r>
      <w:proofErr w:type="spellEnd"/>
      <w:r w:rsidR="00405E9E">
        <w:rPr>
          <w:rFonts w:asciiTheme="majorHAnsi" w:hAnsiTheme="majorHAnsi" w:cstheme="majorHAnsi"/>
          <w:sz w:val="24"/>
          <w:szCs w:val="24"/>
          <w:lang w:val="en-US"/>
        </w:rPr>
        <w:t xml:space="preserve"> </w:t>
      </w:r>
      <w:r w:rsidR="004B6E73">
        <w:rPr>
          <w:rFonts w:asciiTheme="majorHAnsi" w:hAnsiTheme="majorHAnsi" w:cstheme="majorHAnsi"/>
          <w:sz w:val="24"/>
          <w:szCs w:val="24"/>
          <w:lang w:val="en-US"/>
        </w:rPr>
        <w:t>in</w:t>
      </w:r>
      <w:r w:rsidR="00D77114">
        <w:rPr>
          <w:rFonts w:asciiTheme="majorHAnsi" w:hAnsiTheme="majorHAnsi" w:cstheme="majorHAnsi"/>
          <w:sz w:val="24"/>
          <w:szCs w:val="24"/>
          <w:lang w:val="en-US"/>
        </w:rPr>
        <w:t>crease in</w:t>
      </w:r>
      <w:r w:rsidR="00D04B7F" w:rsidRPr="00066A9C">
        <w:rPr>
          <w:rFonts w:asciiTheme="majorHAnsi" w:hAnsiTheme="majorHAnsi" w:cstheme="majorHAnsi"/>
          <w:sz w:val="24"/>
          <w:szCs w:val="24"/>
          <w:lang w:val="en-US"/>
        </w:rPr>
        <w:t xml:space="preserve"> </w:t>
      </w:r>
      <w:r w:rsidR="007103C4">
        <w:rPr>
          <w:rFonts w:asciiTheme="majorHAnsi" w:hAnsiTheme="majorHAnsi" w:cstheme="majorHAnsi"/>
          <w:sz w:val="24"/>
          <w:szCs w:val="24"/>
          <w:lang w:val="en-US"/>
        </w:rPr>
        <w:t xml:space="preserve">projected </w:t>
      </w:r>
      <w:r w:rsidR="00D04B7F" w:rsidRPr="00066A9C">
        <w:rPr>
          <w:rFonts w:asciiTheme="majorHAnsi" w:hAnsiTheme="majorHAnsi" w:cstheme="majorHAnsi"/>
          <w:sz w:val="24"/>
          <w:szCs w:val="24"/>
          <w:lang w:val="en-US"/>
        </w:rPr>
        <w:t xml:space="preserve">enrolment and the </w:t>
      </w:r>
      <w:r w:rsidR="00111B03">
        <w:rPr>
          <w:rFonts w:asciiTheme="majorHAnsi" w:hAnsiTheme="majorHAnsi" w:cstheme="majorHAnsi"/>
          <w:sz w:val="24"/>
          <w:szCs w:val="24"/>
          <w:lang w:val="en-US"/>
        </w:rPr>
        <w:t>increase</w:t>
      </w:r>
      <w:r w:rsidR="00D04B7F" w:rsidRPr="00066A9C">
        <w:rPr>
          <w:rFonts w:asciiTheme="majorHAnsi" w:hAnsiTheme="majorHAnsi" w:cstheme="majorHAnsi"/>
          <w:sz w:val="24"/>
          <w:szCs w:val="24"/>
          <w:lang w:val="en-US"/>
        </w:rPr>
        <w:t xml:space="preserve"> </w:t>
      </w:r>
      <w:r w:rsidR="007103C4">
        <w:rPr>
          <w:rFonts w:asciiTheme="majorHAnsi" w:hAnsiTheme="majorHAnsi" w:cstheme="majorHAnsi"/>
          <w:sz w:val="24"/>
          <w:szCs w:val="24"/>
          <w:lang w:val="en-US"/>
        </w:rPr>
        <w:t>in</w:t>
      </w:r>
      <w:r w:rsidR="00D04B7F" w:rsidRPr="00066A9C">
        <w:rPr>
          <w:rFonts w:asciiTheme="majorHAnsi" w:hAnsiTheme="majorHAnsi" w:cstheme="majorHAnsi"/>
          <w:sz w:val="24"/>
          <w:szCs w:val="24"/>
          <w:lang w:val="en-US"/>
        </w:rPr>
        <w:t xml:space="preserve"> benchmark funding</w:t>
      </w:r>
      <w:r w:rsidR="007103C4">
        <w:rPr>
          <w:rFonts w:asciiTheme="majorHAnsi" w:hAnsiTheme="majorHAnsi" w:cstheme="majorHAnsi"/>
          <w:sz w:val="24"/>
          <w:szCs w:val="24"/>
          <w:lang w:val="en-US"/>
        </w:rPr>
        <w:t>.</w:t>
      </w:r>
      <w:r w:rsidR="00D04B7F" w:rsidRPr="00066A9C">
        <w:rPr>
          <w:rFonts w:asciiTheme="majorHAnsi" w:hAnsiTheme="majorHAnsi" w:cstheme="majorHAnsi"/>
          <w:sz w:val="24"/>
          <w:szCs w:val="24"/>
          <w:lang w:val="en-US"/>
        </w:rPr>
        <w:t xml:space="preserve">  </w:t>
      </w:r>
    </w:p>
    <w:p w14:paraId="59AC5341" w14:textId="77777777" w:rsidR="00635C08" w:rsidRPr="00066A9C" w:rsidRDefault="00635C08" w:rsidP="00635C08">
      <w:pPr>
        <w:pStyle w:val="NoSpacing"/>
        <w:rPr>
          <w:rFonts w:asciiTheme="majorHAnsi" w:hAnsiTheme="majorHAnsi" w:cstheme="majorHAnsi"/>
          <w:sz w:val="24"/>
          <w:szCs w:val="24"/>
          <w:lang w:val="en-US"/>
        </w:rPr>
      </w:pPr>
    </w:p>
    <w:p w14:paraId="4302C220" w14:textId="77777777" w:rsidR="00635C08" w:rsidRPr="00066A9C" w:rsidRDefault="00635C08" w:rsidP="00635C08">
      <w:pPr>
        <w:pStyle w:val="Heading4"/>
        <w:rPr>
          <w:rFonts w:eastAsia="Calibri" w:cstheme="majorHAnsi"/>
          <w:sz w:val="24"/>
          <w:szCs w:val="24"/>
          <w:lang w:val="en-US"/>
        </w:rPr>
      </w:pPr>
      <w:r w:rsidRPr="00066A9C">
        <w:rPr>
          <w:rFonts w:eastAsia="Calibri" w:cstheme="majorHAnsi"/>
          <w:sz w:val="24"/>
          <w:szCs w:val="24"/>
          <w:lang w:val="en-US"/>
        </w:rPr>
        <w:t>School Foundation Grant</w:t>
      </w:r>
    </w:p>
    <w:p w14:paraId="553CEDCD" w14:textId="2989E62D" w:rsidR="00635C08" w:rsidRPr="00066A9C" w:rsidRDefault="00635C08" w:rsidP="00635C08">
      <w:pPr>
        <w:pStyle w:val="NoSpacing"/>
        <w:rPr>
          <w:rFonts w:asciiTheme="majorHAnsi" w:hAnsiTheme="majorHAnsi" w:cstheme="majorHAnsi"/>
          <w:sz w:val="24"/>
          <w:szCs w:val="24"/>
          <w:lang w:val="en-US"/>
        </w:rPr>
      </w:pPr>
      <w:r w:rsidRPr="00066A9C">
        <w:rPr>
          <w:rFonts w:asciiTheme="majorHAnsi" w:hAnsiTheme="majorHAnsi" w:cstheme="majorHAnsi"/>
          <w:sz w:val="24"/>
          <w:szCs w:val="24"/>
          <w:lang w:val="en-US"/>
        </w:rPr>
        <w:t xml:space="preserve">This grant supports the costs of in-school administration and leadership (salaries and benefits for principals, vice-principals, and office support staff) as well as supplies for school administration purposes.  </w:t>
      </w:r>
      <w:r w:rsidR="00D04B7F" w:rsidRPr="00066A9C">
        <w:rPr>
          <w:rFonts w:asciiTheme="majorHAnsi" w:hAnsiTheme="majorHAnsi" w:cstheme="majorHAnsi"/>
          <w:sz w:val="24"/>
          <w:szCs w:val="24"/>
          <w:lang w:val="en-US"/>
        </w:rPr>
        <w:t xml:space="preserve">The funding for these expenses </w:t>
      </w:r>
      <w:r w:rsidR="00FE50D0">
        <w:rPr>
          <w:rFonts w:asciiTheme="majorHAnsi" w:hAnsiTheme="majorHAnsi" w:cstheme="majorHAnsi"/>
          <w:sz w:val="24"/>
          <w:szCs w:val="24"/>
          <w:lang w:val="en-US"/>
        </w:rPr>
        <w:t xml:space="preserve">increased </w:t>
      </w:r>
      <w:r w:rsidR="00EB5CB2">
        <w:rPr>
          <w:rFonts w:asciiTheme="majorHAnsi" w:hAnsiTheme="majorHAnsi" w:cstheme="majorHAnsi"/>
          <w:sz w:val="24"/>
          <w:szCs w:val="24"/>
          <w:lang w:val="en-US"/>
        </w:rPr>
        <w:t>due to benchmark increases</w:t>
      </w:r>
      <w:r w:rsidR="007878A5">
        <w:rPr>
          <w:rFonts w:asciiTheme="majorHAnsi" w:hAnsiTheme="majorHAnsi" w:cstheme="majorHAnsi"/>
          <w:sz w:val="24"/>
          <w:szCs w:val="24"/>
          <w:lang w:val="en-US"/>
        </w:rPr>
        <w:t>.</w:t>
      </w:r>
    </w:p>
    <w:p w14:paraId="1D7BB08F" w14:textId="77777777" w:rsidR="00635C08" w:rsidRPr="00066A9C" w:rsidRDefault="00635C08" w:rsidP="00635C08">
      <w:pPr>
        <w:pStyle w:val="NoSpacing"/>
        <w:rPr>
          <w:rFonts w:asciiTheme="majorHAnsi" w:hAnsiTheme="majorHAnsi" w:cstheme="majorHAnsi"/>
          <w:sz w:val="24"/>
          <w:szCs w:val="24"/>
          <w:lang w:val="en-US"/>
        </w:rPr>
      </w:pPr>
    </w:p>
    <w:p w14:paraId="2D3124AF" w14:textId="1AAF49D6" w:rsidR="00635C08" w:rsidRDefault="00635C08" w:rsidP="00635C08">
      <w:pPr>
        <w:pStyle w:val="Heading4"/>
        <w:rPr>
          <w:rFonts w:eastAsia="Calibri" w:cstheme="majorHAnsi"/>
          <w:sz w:val="24"/>
          <w:szCs w:val="24"/>
          <w:lang w:val="en-US"/>
        </w:rPr>
      </w:pPr>
      <w:r w:rsidRPr="00066A9C">
        <w:rPr>
          <w:rFonts w:eastAsia="Calibri" w:cstheme="majorHAnsi"/>
          <w:sz w:val="24"/>
          <w:szCs w:val="24"/>
          <w:lang w:val="en-US"/>
        </w:rPr>
        <w:lastRenderedPageBreak/>
        <w:t>S</w:t>
      </w:r>
      <w:r w:rsidR="00F2530E">
        <w:rPr>
          <w:rFonts w:eastAsia="Calibri" w:cstheme="majorHAnsi"/>
          <w:sz w:val="24"/>
          <w:szCs w:val="24"/>
          <w:lang w:val="en-US"/>
        </w:rPr>
        <w:t>uppl</w:t>
      </w:r>
      <w:r w:rsidR="00435CE5">
        <w:rPr>
          <w:rFonts w:eastAsia="Calibri" w:cstheme="majorHAnsi"/>
          <w:sz w:val="24"/>
          <w:szCs w:val="24"/>
          <w:lang w:val="en-US"/>
        </w:rPr>
        <w:t>emental</w:t>
      </w:r>
      <w:r w:rsidRPr="00066A9C">
        <w:rPr>
          <w:rFonts w:eastAsia="Calibri" w:cstheme="majorHAnsi"/>
          <w:sz w:val="24"/>
          <w:szCs w:val="24"/>
          <w:lang w:val="en-US"/>
        </w:rPr>
        <w:t xml:space="preserve"> Grants</w:t>
      </w:r>
    </w:p>
    <w:tbl>
      <w:tblPr>
        <w:tblW w:w="9020" w:type="dxa"/>
        <w:tblLook w:val="04A0" w:firstRow="1" w:lastRow="0" w:firstColumn="1" w:lastColumn="0" w:noHBand="0" w:noVBand="1"/>
      </w:tblPr>
      <w:tblGrid>
        <w:gridCol w:w="3700"/>
        <w:gridCol w:w="1340"/>
        <w:gridCol w:w="1220"/>
        <w:gridCol w:w="1380"/>
        <w:gridCol w:w="1380"/>
      </w:tblGrid>
      <w:tr w:rsidR="00E81BB7" w:rsidRPr="00E81BB7" w14:paraId="15B2254B" w14:textId="77777777" w:rsidTr="00A46CAD">
        <w:trPr>
          <w:trHeight w:val="570"/>
        </w:trPr>
        <w:tc>
          <w:tcPr>
            <w:tcW w:w="3700" w:type="dxa"/>
            <w:tcBorders>
              <w:top w:val="single" w:sz="4" w:space="0" w:color="auto"/>
              <w:left w:val="single" w:sz="4" w:space="0" w:color="auto"/>
              <w:bottom w:val="nil"/>
              <w:right w:val="nil"/>
            </w:tcBorders>
            <w:shd w:val="clear" w:color="000000" w:fill="FFFFFF"/>
            <w:hideMark/>
          </w:tcPr>
          <w:p w14:paraId="07225120" w14:textId="77777777" w:rsidR="00862F66" w:rsidRDefault="00862F66" w:rsidP="00E81BB7">
            <w:pPr>
              <w:spacing w:after="0" w:line="240" w:lineRule="auto"/>
              <w:rPr>
                <w:rFonts w:ascii="Microsoft Sans Serif" w:eastAsia="Times New Roman" w:hAnsi="Microsoft Sans Serif" w:cs="Microsoft Sans Serif"/>
                <w:b/>
                <w:bCs/>
                <w:color w:val="000000"/>
                <w:sz w:val="16"/>
                <w:szCs w:val="16"/>
                <w:lang w:eastAsia="en-CA"/>
              </w:rPr>
            </w:pPr>
          </w:p>
          <w:p w14:paraId="5674145F" w14:textId="21319B5F" w:rsidR="00E81BB7" w:rsidRPr="00E81BB7" w:rsidRDefault="00E81BB7" w:rsidP="00E81BB7">
            <w:pPr>
              <w:spacing w:after="0" w:line="240" w:lineRule="auto"/>
              <w:rPr>
                <w:rFonts w:ascii="Microsoft Sans Serif" w:eastAsia="Times New Roman" w:hAnsi="Microsoft Sans Serif" w:cs="Microsoft Sans Serif"/>
                <w:b/>
                <w:bCs/>
                <w:color w:val="000000"/>
                <w:sz w:val="16"/>
                <w:szCs w:val="16"/>
                <w:lang w:eastAsia="en-CA"/>
              </w:rPr>
            </w:pPr>
            <w:r w:rsidRPr="00E81BB7">
              <w:rPr>
                <w:rFonts w:ascii="Microsoft Sans Serif" w:eastAsia="Times New Roman" w:hAnsi="Microsoft Sans Serif" w:cs="Microsoft Sans Serif"/>
                <w:b/>
                <w:bCs/>
                <w:color w:val="000000"/>
                <w:sz w:val="16"/>
                <w:szCs w:val="16"/>
                <w:lang w:eastAsia="en-CA"/>
              </w:rPr>
              <w:t> </w:t>
            </w:r>
          </w:p>
        </w:tc>
        <w:tc>
          <w:tcPr>
            <w:tcW w:w="1340" w:type="dxa"/>
            <w:tcBorders>
              <w:top w:val="single" w:sz="4" w:space="0" w:color="auto"/>
              <w:left w:val="single" w:sz="4" w:space="0" w:color="auto"/>
              <w:bottom w:val="nil"/>
              <w:right w:val="single" w:sz="4" w:space="0" w:color="auto"/>
            </w:tcBorders>
            <w:shd w:val="clear" w:color="auto" w:fill="auto"/>
            <w:hideMark/>
          </w:tcPr>
          <w:p w14:paraId="3E3E7361" w14:textId="77777777" w:rsidR="00E81BB7" w:rsidRPr="00E81BB7" w:rsidRDefault="00E81BB7" w:rsidP="00E81BB7">
            <w:pPr>
              <w:spacing w:after="0" w:line="240" w:lineRule="auto"/>
              <w:jc w:val="center"/>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2022-23 Estimates</w:t>
            </w:r>
          </w:p>
        </w:tc>
        <w:tc>
          <w:tcPr>
            <w:tcW w:w="1220" w:type="dxa"/>
            <w:tcBorders>
              <w:top w:val="single" w:sz="4" w:space="0" w:color="auto"/>
              <w:left w:val="nil"/>
              <w:bottom w:val="nil"/>
              <w:right w:val="single" w:sz="4" w:space="0" w:color="auto"/>
            </w:tcBorders>
            <w:shd w:val="clear" w:color="auto" w:fill="auto"/>
            <w:hideMark/>
          </w:tcPr>
          <w:p w14:paraId="7CDD152B" w14:textId="77777777" w:rsidR="00E81BB7" w:rsidRPr="00E81BB7" w:rsidRDefault="00E81BB7" w:rsidP="00E81BB7">
            <w:pPr>
              <w:spacing w:after="0" w:line="240" w:lineRule="auto"/>
              <w:jc w:val="center"/>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2021-22 Revised</w:t>
            </w:r>
          </w:p>
        </w:tc>
        <w:tc>
          <w:tcPr>
            <w:tcW w:w="1380" w:type="dxa"/>
            <w:tcBorders>
              <w:top w:val="single" w:sz="4" w:space="0" w:color="auto"/>
              <w:left w:val="nil"/>
              <w:bottom w:val="nil"/>
              <w:right w:val="single" w:sz="4" w:space="0" w:color="auto"/>
            </w:tcBorders>
            <w:shd w:val="clear" w:color="auto" w:fill="auto"/>
            <w:hideMark/>
          </w:tcPr>
          <w:p w14:paraId="48821705" w14:textId="77777777" w:rsidR="00E81BB7" w:rsidRPr="00E81BB7" w:rsidRDefault="00E81BB7" w:rsidP="00E81BB7">
            <w:pPr>
              <w:spacing w:after="0" w:line="240" w:lineRule="auto"/>
              <w:jc w:val="center"/>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Increase/-Decrease</w:t>
            </w:r>
          </w:p>
        </w:tc>
        <w:tc>
          <w:tcPr>
            <w:tcW w:w="1380" w:type="dxa"/>
            <w:tcBorders>
              <w:top w:val="single" w:sz="4" w:space="0" w:color="auto"/>
              <w:left w:val="nil"/>
              <w:bottom w:val="nil"/>
              <w:right w:val="single" w:sz="4" w:space="0" w:color="auto"/>
            </w:tcBorders>
            <w:shd w:val="clear" w:color="auto" w:fill="auto"/>
            <w:hideMark/>
          </w:tcPr>
          <w:p w14:paraId="41B9F328" w14:textId="77777777" w:rsidR="00E81BB7" w:rsidRPr="00E81BB7" w:rsidRDefault="00E81BB7" w:rsidP="00E81BB7">
            <w:pPr>
              <w:spacing w:after="0" w:line="240" w:lineRule="auto"/>
              <w:jc w:val="center"/>
              <w:rPr>
                <w:rFonts w:ascii="Lato" w:eastAsia="Times New Roman" w:hAnsi="Lato" w:cs="Calibri"/>
                <w:color w:val="000000"/>
                <w:sz w:val="18"/>
                <w:szCs w:val="18"/>
                <w:lang w:eastAsia="en-CA"/>
              </w:rPr>
            </w:pPr>
          </w:p>
        </w:tc>
      </w:tr>
      <w:tr w:rsidR="00E81BB7" w:rsidRPr="00E81BB7" w14:paraId="7F7794B9" w14:textId="77777777" w:rsidTr="00E81BB7">
        <w:trPr>
          <w:trHeight w:val="570"/>
        </w:trPr>
        <w:tc>
          <w:tcPr>
            <w:tcW w:w="3700" w:type="dxa"/>
            <w:tcBorders>
              <w:top w:val="nil"/>
              <w:left w:val="single" w:sz="4" w:space="0" w:color="auto"/>
              <w:bottom w:val="single" w:sz="4" w:space="0" w:color="auto"/>
              <w:right w:val="single" w:sz="4" w:space="0" w:color="auto"/>
            </w:tcBorders>
            <w:shd w:val="clear" w:color="auto" w:fill="auto"/>
            <w:hideMark/>
          </w:tcPr>
          <w:p w14:paraId="6E4D66F7"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Special Education Allocation</w:t>
            </w:r>
          </w:p>
        </w:tc>
        <w:tc>
          <w:tcPr>
            <w:tcW w:w="1340" w:type="dxa"/>
            <w:tcBorders>
              <w:top w:val="nil"/>
              <w:left w:val="nil"/>
              <w:bottom w:val="single" w:sz="4" w:space="0" w:color="auto"/>
              <w:right w:val="single" w:sz="4" w:space="0" w:color="auto"/>
            </w:tcBorders>
            <w:shd w:val="clear" w:color="auto" w:fill="auto"/>
            <w:hideMark/>
          </w:tcPr>
          <w:p w14:paraId="2A73FED4"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13,245,747</w:t>
            </w:r>
          </w:p>
        </w:tc>
        <w:tc>
          <w:tcPr>
            <w:tcW w:w="1220" w:type="dxa"/>
            <w:tcBorders>
              <w:top w:val="nil"/>
              <w:left w:val="nil"/>
              <w:bottom w:val="single" w:sz="4" w:space="0" w:color="auto"/>
              <w:right w:val="single" w:sz="4" w:space="0" w:color="auto"/>
            </w:tcBorders>
            <w:shd w:val="clear" w:color="auto" w:fill="auto"/>
            <w:hideMark/>
          </w:tcPr>
          <w:p w14:paraId="3F03D079"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12,927,571</w:t>
            </w:r>
          </w:p>
        </w:tc>
        <w:tc>
          <w:tcPr>
            <w:tcW w:w="1380" w:type="dxa"/>
            <w:tcBorders>
              <w:top w:val="nil"/>
              <w:left w:val="nil"/>
              <w:bottom w:val="single" w:sz="4" w:space="0" w:color="auto"/>
              <w:right w:val="single" w:sz="4" w:space="0" w:color="auto"/>
            </w:tcBorders>
            <w:shd w:val="clear" w:color="auto" w:fill="auto"/>
            <w:noWrap/>
            <w:hideMark/>
          </w:tcPr>
          <w:p w14:paraId="10619A69"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318,176</w:t>
            </w:r>
          </w:p>
        </w:tc>
        <w:tc>
          <w:tcPr>
            <w:tcW w:w="1380" w:type="dxa"/>
            <w:tcBorders>
              <w:top w:val="nil"/>
              <w:left w:val="nil"/>
              <w:bottom w:val="single" w:sz="4" w:space="0" w:color="auto"/>
              <w:right w:val="single" w:sz="4" w:space="0" w:color="auto"/>
            </w:tcBorders>
            <w:shd w:val="clear" w:color="auto" w:fill="auto"/>
            <w:noWrap/>
            <w:hideMark/>
          </w:tcPr>
          <w:p w14:paraId="0B6D6991"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Note 1</w:t>
            </w:r>
          </w:p>
        </w:tc>
      </w:tr>
      <w:tr w:rsidR="00E81BB7" w:rsidRPr="00E81BB7" w14:paraId="6CA7B1AA" w14:textId="77777777" w:rsidTr="00E81BB7">
        <w:trPr>
          <w:trHeight w:val="855"/>
        </w:trPr>
        <w:tc>
          <w:tcPr>
            <w:tcW w:w="3700" w:type="dxa"/>
            <w:tcBorders>
              <w:top w:val="nil"/>
              <w:left w:val="single" w:sz="4" w:space="0" w:color="auto"/>
              <w:bottom w:val="single" w:sz="4" w:space="0" w:color="auto"/>
              <w:right w:val="single" w:sz="4" w:space="0" w:color="auto"/>
            </w:tcBorders>
            <w:shd w:val="clear" w:color="auto" w:fill="auto"/>
            <w:hideMark/>
          </w:tcPr>
          <w:p w14:paraId="29916E20"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Language Allocation</w:t>
            </w:r>
          </w:p>
        </w:tc>
        <w:tc>
          <w:tcPr>
            <w:tcW w:w="1340" w:type="dxa"/>
            <w:tcBorders>
              <w:top w:val="nil"/>
              <w:left w:val="nil"/>
              <w:bottom w:val="single" w:sz="4" w:space="0" w:color="auto"/>
              <w:right w:val="single" w:sz="4" w:space="0" w:color="auto"/>
            </w:tcBorders>
            <w:shd w:val="clear" w:color="auto" w:fill="auto"/>
            <w:hideMark/>
          </w:tcPr>
          <w:p w14:paraId="4B3A9146"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2,417,300</w:t>
            </w:r>
          </w:p>
        </w:tc>
        <w:tc>
          <w:tcPr>
            <w:tcW w:w="1220" w:type="dxa"/>
            <w:tcBorders>
              <w:top w:val="nil"/>
              <w:left w:val="nil"/>
              <w:bottom w:val="single" w:sz="4" w:space="0" w:color="auto"/>
              <w:right w:val="single" w:sz="4" w:space="0" w:color="auto"/>
            </w:tcBorders>
            <w:shd w:val="clear" w:color="auto" w:fill="auto"/>
            <w:hideMark/>
          </w:tcPr>
          <w:p w14:paraId="20E4077E"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2,151,975</w:t>
            </w:r>
          </w:p>
        </w:tc>
        <w:tc>
          <w:tcPr>
            <w:tcW w:w="1380" w:type="dxa"/>
            <w:tcBorders>
              <w:top w:val="nil"/>
              <w:left w:val="nil"/>
              <w:bottom w:val="single" w:sz="4" w:space="0" w:color="auto"/>
              <w:right w:val="single" w:sz="4" w:space="0" w:color="auto"/>
            </w:tcBorders>
            <w:shd w:val="clear" w:color="auto" w:fill="auto"/>
            <w:noWrap/>
            <w:hideMark/>
          </w:tcPr>
          <w:p w14:paraId="6700372D"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265,325</w:t>
            </w:r>
          </w:p>
        </w:tc>
        <w:tc>
          <w:tcPr>
            <w:tcW w:w="1380" w:type="dxa"/>
            <w:tcBorders>
              <w:top w:val="nil"/>
              <w:left w:val="nil"/>
              <w:bottom w:val="single" w:sz="4" w:space="0" w:color="auto"/>
              <w:right w:val="single" w:sz="4" w:space="0" w:color="auto"/>
            </w:tcBorders>
            <w:shd w:val="clear" w:color="auto" w:fill="auto"/>
            <w:noWrap/>
            <w:hideMark/>
          </w:tcPr>
          <w:p w14:paraId="0E51A15A"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Note 2</w:t>
            </w:r>
          </w:p>
        </w:tc>
      </w:tr>
      <w:tr w:rsidR="00E81BB7" w:rsidRPr="00E81BB7" w14:paraId="762DB9BF" w14:textId="77777777" w:rsidTr="00E81BB7">
        <w:trPr>
          <w:trHeight w:val="300"/>
        </w:trPr>
        <w:tc>
          <w:tcPr>
            <w:tcW w:w="3700" w:type="dxa"/>
            <w:tcBorders>
              <w:top w:val="nil"/>
              <w:left w:val="single" w:sz="4" w:space="0" w:color="auto"/>
              <w:bottom w:val="single" w:sz="4" w:space="0" w:color="auto"/>
              <w:right w:val="single" w:sz="4" w:space="0" w:color="auto"/>
            </w:tcBorders>
            <w:shd w:val="clear" w:color="auto" w:fill="auto"/>
            <w:hideMark/>
          </w:tcPr>
          <w:p w14:paraId="7857BAE5"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Supported School Allocation</w:t>
            </w:r>
          </w:p>
        </w:tc>
        <w:tc>
          <w:tcPr>
            <w:tcW w:w="1340" w:type="dxa"/>
            <w:tcBorders>
              <w:top w:val="nil"/>
              <w:left w:val="nil"/>
              <w:bottom w:val="single" w:sz="4" w:space="0" w:color="auto"/>
              <w:right w:val="single" w:sz="4" w:space="0" w:color="auto"/>
            </w:tcBorders>
            <w:shd w:val="clear" w:color="auto" w:fill="auto"/>
            <w:hideMark/>
          </w:tcPr>
          <w:p w14:paraId="58A9D202"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250,429</w:t>
            </w:r>
          </w:p>
        </w:tc>
        <w:tc>
          <w:tcPr>
            <w:tcW w:w="1220" w:type="dxa"/>
            <w:tcBorders>
              <w:top w:val="nil"/>
              <w:left w:val="nil"/>
              <w:bottom w:val="single" w:sz="4" w:space="0" w:color="auto"/>
              <w:right w:val="single" w:sz="4" w:space="0" w:color="auto"/>
            </w:tcBorders>
            <w:shd w:val="clear" w:color="auto" w:fill="auto"/>
            <w:hideMark/>
          </w:tcPr>
          <w:p w14:paraId="05EA8972"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248,509</w:t>
            </w:r>
          </w:p>
        </w:tc>
        <w:tc>
          <w:tcPr>
            <w:tcW w:w="1380" w:type="dxa"/>
            <w:tcBorders>
              <w:top w:val="nil"/>
              <w:left w:val="nil"/>
              <w:bottom w:val="single" w:sz="4" w:space="0" w:color="auto"/>
              <w:right w:val="single" w:sz="4" w:space="0" w:color="auto"/>
            </w:tcBorders>
            <w:shd w:val="clear" w:color="auto" w:fill="auto"/>
            <w:noWrap/>
            <w:hideMark/>
          </w:tcPr>
          <w:p w14:paraId="11A7916A"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1,920</w:t>
            </w:r>
          </w:p>
        </w:tc>
        <w:tc>
          <w:tcPr>
            <w:tcW w:w="1380" w:type="dxa"/>
            <w:tcBorders>
              <w:top w:val="nil"/>
              <w:left w:val="nil"/>
              <w:bottom w:val="single" w:sz="4" w:space="0" w:color="auto"/>
              <w:right w:val="single" w:sz="4" w:space="0" w:color="auto"/>
            </w:tcBorders>
            <w:shd w:val="clear" w:color="auto" w:fill="auto"/>
            <w:noWrap/>
            <w:hideMark/>
          </w:tcPr>
          <w:p w14:paraId="64824F6B"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 </w:t>
            </w:r>
          </w:p>
        </w:tc>
      </w:tr>
      <w:tr w:rsidR="00E81BB7" w:rsidRPr="00E81BB7" w14:paraId="581668AE" w14:textId="77777777" w:rsidTr="00E81BB7">
        <w:trPr>
          <w:trHeight w:val="570"/>
        </w:trPr>
        <w:tc>
          <w:tcPr>
            <w:tcW w:w="3700" w:type="dxa"/>
            <w:tcBorders>
              <w:top w:val="nil"/>
              <w:left w:val="single" w:sz="4" w:space="0" w:color="auto"/>
              <w:bottom w:val="single" w:sz="4" w:space="0" w:color="auto"/>
              <w:right w:val="single" w:sz="4" w:space="0" w:color="auto"/>
            </w:tcBorders>
            <w:shd w:val="clear" w:color="auto" w:fill="auto"/>
            <w:hideMark/>
          </w:tcPr>
          <w:p w14:paraId="533BDA95"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Remote and Rural Allocation &amp; Geographic Circumstances Top-up Allocations</w:t>
            </w:r>
          </w:p>
        </w:tc>
        <w:tc>
          <w:tcPr>
            <w:tcW w:w="1340" w:type="dxa"/>
            <w:tcBorders>
              <w:top w:val="nil"/>
              <w:left w:val="nil"/>
              <w:bottom w:val="single" w:sz="4" w:space="0" w:color="auto"/>
              <w:right w:val="single" w:sz="4" w:space="0" w:color="auto"/>
            </w:tcBorders>
            <w:shd w:val="clear" w:color="auto" w:fill="auto"/>
            <w:hideMark/>
          </w:tcPr>
          <w:p w14:paraId="3A3D6C42"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1,940,727</w:t>
            </w:r>
          </w:p>
        </w:tc>
        <w:tc>
          <w:tcPr>
            <w:tcW w:w="1220" w:type="dxa"/>
            <w:tcBorders>
              <w:top w:val="nil"/>
              <w:left w:val="nil"/>
              <w:bottom w:val="single" w:sz="4" w:space="0" w:color="auto"/>
              <w:right w:val="single" w:sz="4" w:space="0" w:color="auto"/>
            </w:tcBorders>
            <w:shd w:val="clear" w:color="auto" w:fill="auto"/>
            <w:hideMark/>
          </w:tcPr>
          <w:p w14:paraId="616EE98E"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1,909,367</w:t>
            </w:r>
          </w:p>
        </w:tc>
        <w:tc>
          <w:tcPr>
            <w:tcW w:w="1380" w:type="dxa"/>
            <w:tcBorders>
              <w:top w:val="nil"/>
              <w:left w:val="nil"/>
              <w:bottom w:val="single" w:sz="4" w:space="0" w:color="auto"/>
              <w:right w:val="single" w:sz="4" w:space="0" w:color="auto"/>
            </w:tcBorders>
            <w:shd w:val="clear" w:color="auto" w:fill="auto"/>
            <w:noWrap/>
            <w:hideMark/>
          </w:tcPr>
          <w:p w14:paraId="7702D4A9"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31,360</w:t>
            </w:r>
          </w:p>
        </w:tc>
        <w:tc>
          <w:tcPr>
            <w:tcW w:w="1380" w:type="dxa"/>
            <w:tcBorders>
              <w:top w:val="nil"/>
              <w:left w:val="nil"/>
              <w:bottom w:val="single" w:sz="4" w:space="0" w:color="auto"/>
              <w:right w:val="single" w:sz="4" w:space="0" w:color="auto"/>
            </w:tcBorders>
            <w:shd w:val="clear" w:color="auto" w:fill="auto"/>
            <w:noWrap/>
            <w:hideMark/>
          </w:tcPr>
          <w:p w14:paraId="42A53CB3"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 </w:t>
            </w:r>
          </w:p>
        </w:tc>
      </w:tr>
      <w:tr w:rsidR="00E81BB7" w:rsidRPr="00E81BB7" w14:paraId="655964C3" w14:textId="77777777" w:rsidTr="00E81BB7">
        <w:trPr>
          <w:trHeight w:val="300"/>
        </w:trPr>
        <w:tc>
          <w:tcPr>
            <w:tcW w:w="3700" w:type="dxa"/>
            <w:tcBorders>
              <w:top w:val="nil"/>
              <w:left w:val="single" w:sz="4" w:space="0" w:color="auto"/>
              <w:bottom w:val="single" w:sz="4" w:space="0" w:color="auto"/>
              <w:right w:val="single" w:sz="4" w:space="0" w:color="auto"/>
            </w:tcBorders>
            <w:shd w:val="clear" w:color="auto" w:fill="auto"/>
            <w:hideMark/>
          </w:tcPr>
          <w:p w14:paraId="6EBACA41"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Learning Opportunities Allocation</w:t>
            </w:r>
          </w:p>
        </w:tc>
        <w:tc>
          <w:tcPr>
            <w:tcW w:w="1340" w:type="dxa"/>
            <w:tcBorders>
              <w:top w:val="nil"/>
              <w:left w:val="nil"/>
              <w:bottom w:val="single" w:sz="4" w:space="0" w:color="auto"/>
              <w:right w:val="single" w:sz="4" w:space="0" w:color="auto"/>
            </w:tcBorders>
            <w:shd w:val="clear" w:color="auto" w:fill="auto"/>
            <w:hideMark/>
          </w:tcPr>
          <w:p w14:paraId="0EEE00CC"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1,269,044</w:t>
            </w:r>
          </w:p>
        </w:tc>
        <w:tc>
          <w:tcPr>
            <w:tcW w:w="1220" w:type="dxa"/>
            <w:tcBorders>
              <w:top w:val="nil"/>
              <w:left w:val="nil"/>
              <w:bottom w:val="single" w:sz="4" w:space="0" w:color="auto"/>
              <w:right w:val="single" w:sz="4" w:space="0" w:color="auto"/>
            </w:tcBorders>
            <w:shd w:val="clear" w:color="auto" w:fill="auto"/>
            <w:hideMark/>
          </w:tcPr>
          <w:p w14:paraId="5BA15C36"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1,282,474</w:t>
            </w:r>
          </w:p>
        </w:tc>
        <w:tc>
          <w:tcPr>
            <w:tcW w:w="1380" w:type="dxa"/>
            <w:tcBorders>
              <w:top w:val="nil"/>
              <w:left w:val="nil"/>
              <w:bottom w:val="single" w:sz="4" w:space="0" w:color="auto"/>
              <w:right w:val="single" w:sz="4" w:space="0" w:color="auto"/>
            </w:tcBorders>
            <w:shd w:val="clear" w:color="auto" w:fill="auto"/>
            <w:noWrap/>
            <w:hideMark/>
          </w:tcPr>
          <w:p w14:paraId="585B761B"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-13,430</w:t>
            </w:r>
          </w:p>
        </w:tc>
        <w:tc>
          <w:tcPr>
            <w:tcW w:w="1380" w:type="dxa"/>
            <w:tcBorders>
              <w:top w:val="nil"/>
              <w:left w:val="nil"/>
              <w:bottom w:val="single" w:sz="4" w:space="0" w:color="auto"/>
              <w:right w:val="single" w:sz="4" w:space="0" w:color="auto"/>
            </w:tcBorders>
            <w:shd w:val="clear" w:color="auto" w:fill="auto"/>
            <w:noWrap/>
            <w:hideMark/>
          </w:tcPr>
          <w:p w14:paraId="47CED8A1"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 </w:t>
            </w:r>
          </w:p>
        </w:tc>
      </w:tr>
      <w:tr w:rsidR="00E81BB7" w:rsidRPr="00E81BB7" w14:paraId="7CB20061" w14:textId="77777777" w:rsidTr="00E81BB7">
        <w:trPr>
          <w:trHeight w:val="570"/>
        </w:trPr>
        <w:tc>
          <w:tcPr>
            <w:tcW w:w="3700" w:type="dxa"/>
            <w:tcBorders>
              <w:top w:val="nil"/>
              <w:left w:val="single" w:sz="4" w:space="0" w:color="auto"/>
              <w:bottom w:val="single" w:sz="4" w:space="0" w:color="auto"/>
              <w:right w:val="single" w:sz="4" w:space="0" w:color="auto"/>
            </w:tcBorders>
            <w:shd w:val="clear" w:color="auto" w:fill="auto"/>
            <w:hideMark/>
          </w:tcPr>
          <w:p w14:paraId="317B8999"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Continuing Education Allocation and Other Program</w:t>
            </w:r>
          </w:p>
        </w:tc>
        <w:tc>
          <w:tcPr>
            <w:tcW w:w="1340" w:type="dxa"/>
            <w:tcBorders>
              <w:top w:val="nil"/>
              <w:left w:val="nil"/>
              <w:bottom w:val="single" w:sz="4" w:space="0" w:color="auto"/>
              <w:right w:val="single" w:sz="4" w:space="0" w:color="auto"/>
            </w:tcBorders>
            <w:shd w:val="clear" w:color="auto" w:fill="auto"/>
            <w:hideMark/>
          </w:tcPr>
          <w:p w14:paraId="6B5A769D"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294,395</w:t>
            </w:r>
          </w:p>
        </w:tc>
        <w:tc>
          <w:tcPr>
            <w:tcW w:w="1220" w:type="dxa"/>
            <w:tcBorders>
              <w:top w:val="nil"/>
              <w:left w:val="nil"/>
              <w:bottom w:val="single" w:sz="4" w:space="0" w:color="auto"/>
              <w:right w:val="single" w:sz="4" w:space="0" w:color="auto"/>
            </w:tcBorders>
            <w:shd w:val="clear" w:color="auto" w:fill="auto"/>
            <w:hideMark/>
          </w:tcPr>
          <w:p w14:paraId="0885628B"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272,160</w:t>
            </w:r>
          </w:p>
        </w:tc>
        <w:tc>
          <w:tcPr>
            <w:tcW w:w="1380" w:type="dxa"/>
            <w:tcBorders>
              <w:top w:val="nil"/>
              <w:left w:val="nil"/>
              <w:bottom w:val="single" w:sz="4" w:space="0" w:color="auto"/>
              <w:right w:val="single" w:sz="4" w:space="0" w:color="auto"/>
            </w:tcBorders>
            <w:shd w:val="clear" w:color="auto" w:fill="auto"/>
            <w:noWrap/>
            <w:hideMark/>
          </w:tcPr>
          <w:p w14:paraId="00222B91"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22,235</w:t>
            </w:r>
          </w:p>
        </w:tc>
        <w:tc>
          <w:tcPr>
            <w:tcW w:w="1380" w:type="dxa"/>
            <w:tcBorders>
              <w:top w:val="nil"/>
              <w:left w:val="nil"/>
              <w:bottom w:val="single" w:sz="4" w:space="0" w:color="auto"/>
              <w:right w:val="single" w:sz="4" w:space="0" w:color="auto"/>
            </w:tcBorders>
            <w:shd w:val="clear" w:color="auto" w:fill="auto"/>
            <w:noWrap/>
            <w:hideMark/>
          </w:tcPr>
          <w:p w14:paraId="39EE0E93"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 </w:t>
            </w:r>
          </w:p>
        </w:tc>
      </w:tr>
      <w:tr w:rsidR="00E81BB7" w:rsidRPr="00E81BB7" w14:paraId="41E24E2F" w14:textId="77777777" w:rsidTr="00E81BB7">
        <w:trPr>
          <w:trHeight w:val="570"/>
        </w:trPr>
        <w:tc>
          <w:tcPr>
            <w:tcW w:w="3700" w:type="dxa"/>
            <w:tcBorders>
              <w:top w:val="nil"/>
              <w:left w:val="single" w:sz="4" w:space="0" w:color="auto"/>
              <w:bottom w:val="single" w:sz="4" w:space="0" w:color="auto"/>
              <w:right w:val="single" w:sz="4" w:space="0" w:color="auto"/>
            </w:tcBorders>
            <w:shd w:val="clear" w:color="auto" w:fill="auto"/>
            <w:hideMark/>
          </w:tcPr>
          <w:p w14:paraId="53C595CE"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Cost Adjustment and Teacher Qualification Allocation</w:t>
            </w:r>
          </w:p>
        </w:tc>
        <w:tc>
          <w:tcPr>
            <w:tcW w:w="1340" w:type="dxa"/>
            <w:tcBorders>
              <w:top w:val="nil"/>
              <w:left w:val="nil"/>
              <w:bottom w:val="single" w:sz="4" w:space="0" w:color="auto"/>
              <w:right w:val="single" w:sz="4" w:space="0" w:color="auto"/>
            </w:tcBorders>
            <w:shd w:val="clear" w:color="auto" w:fill="auto"/>
            <w:hideMark/>
          </w:tcPr>
          <w:p w14:paraId="5E10D062"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8,701,540</w:t>
            </w:r>
          </w:p>
        </w:tc>
        <w:tc>
          <w:tcPr>
            <w:tcW w:w="1220" w:type="dxa"/>
            <w:tcBorders>
              <w:top w:val="nil"/>
              <w:left w:val="nil"/>
              <w:bottom w:val="single" w:sz="4" w:space="0" w:color="auto"/>
              <w:right w:val="single" w:sz="4" w:space="0" w:color="auto"/>
            </w:tcBorders>
            <w:shd w:val="clear" w:color="auto" w:fill="auto"/>
            <w:hideMark/>
          </w:tcPr>
          <w:p w14:paraId="4617238E"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7,893,882</w:t>
            </w:r>
          </w:p>
        </w:tc>
        <w:tc>
          <w:tcPr>
            <w:tcW w:w="1380" w:type="dxa"/>
            <w:tcBorders>
              <w:top w:val="nil"/>
              <w:left w:val="nil"/>
              <w:bottom w:val="single" w:sz="4" w:space="0" w:color="auto"/>
              <w:right w:val="single" w:sz="4" w:space="0" w:color="auto"/>
            </w:tcBorders>
            <w:shd w:val="clear" w:color="auto" w:fill="auto"/>
            <w:noWrap/>
            <w:hideMark/>
          </w:tcPr>
          <w:p w14:paraId="00BBE445"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807,658</w:t>
            </w:r>
          </w:p>
        </w:tc>
        <w:tc>
          <w:tcPr>
            <w:tcW w:w="1380" w:type="dxa"/>
            <w:tcBorders>
              <w:top w:val="nil"/>
              <w:left w:val="nil"/>
              <w:bottom w:val="single" w:sz="4" w:space="0" w:color="auto"/>
              <w:right w:val="single" w:sz="4" w:space="0" w:color="auto"/>
            </w:tcBorders>
            <w:shd w:val="clear" w:color="auto" w:fill="auto"/>
            <w:noWrap/>
            <w:hideMark/>
          </w:tcPr>
          <w:p w14:paraId="4330CAD6"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Note 3</w:t>
            </w:r>
          </w:p>
        </w:tc>
      </w:tr>
      <w:tr w:rsidR="00E81BB7" w:rsidRPr="00E81BB7" w14:paraId="2222A9B8" w14:textId="77777777" w:rsidTr="00E81BB7">
        <w:trPr>
          <w:trHeight w:val="300"/>
        </w:trPr>
        <w:tc>
          <w:tcPr>
            <w:tcW w:w="3700" w:type="dxa"/>
            <w:tcBorders>
              <w:top w:val="nil"/>
              <w:left w:val="single" w:sz="4" w:space="0" w:color="auto"/>
              <w:bottom w:val="single" w:sz="4" w:space="0" w:color="auto"/>
              <w:right w:val="single" w:sz="4" w:space="0" w:color="auto"/>
            </w:tcBorders>
            <w:shd w:val="clear" w:color="auto" w:fill="auto"/>
            <w:hideMark/>
          </w:tcPr>
          <w:p w14:paraId="21DE293B"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New Teacher Induction Program Allocation</w:t>
            </w:r>
          </w:p>
        </w:tc>
        <w:tc>
          <w:tcPr>
            <w:tcW w:w="1340" w:type="dxa"/>
            <w:tcBorders>
              <w:top w:val="nil"/>
              <w:left w:val="nil"/>
              <w:bottom w:val="single" w:sz="4" w:space="0" w:color="auto"/>
              <w:right w:val="single" w:sz="4" w:space="0" w:color="auto"/>
            </w:tcBorders>
            <w:shd w:val="clear" w:color="auto" w:fill="auto"/>
            <w:hideMark/>
          </w:tcPr>
          <w:p w14:paraId="62E09333"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86,234</w:t>
            </w:r>
          </w:p>
        </w:tc>
        <w:tc>
          <w:tcPr>
            <w:tcW w:w="1220" w:type="dxa"/>
            <w:tcBorders>
              <w:top w:val="nil"/>
              <w:left w:val="nil"/>
              <w:bottom w:val="single" w:sz="4" w:space="0" w:color="auto"/>
              <w:right w:val="single" w:sz="4" w:space="0" w:color="auto"/>
            </w:tcBorders>
            <w:shd w:val="clear" w:color="auto" w:fill="auto"/>
            <w:hideMark/>
          </w:tcPr>
          <w:p w14:paraId="5C7BF267"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80,274</w:t>
            </w:r>
          </w:p>
        </w:tc>
        <w:tc>
          <w:tcPr>
            <w:tcW w:w="1380" w:type="dxa"/>
            <w:tcBorders>
              <w:top w:val="nil"/>
              <w:left w:val="nil"/>
              <w:bottom w:val="single" w:sz="4" w:space="0" w:color="auto"/>
              <w:right w:val="single" w:sz="4" w:space="0" w:color="auto"/>
            </w:tcBorders>
            <w:shd w:val="clear" w:color="auto" w:fill="auto"/>
            <w:noWrap/>
            <w:hideMark/>
          </w:tcPr>
          <w:p w14:paraId="1A0F4252"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5,960</w:t>
            </w:r>
          </w:p>
        </w:tc>
        <w:tc>
          <w:tcPr>
            <w:tcW w:w="1380" w:type="dxa"/>
            <w:tcBorders>
              <w:top w:val="nil"/>
              <w:left w:val="nil"/>
              <w:bottom w:val="single" w:sz="4" w:space="0" w:color="auto"/>
              <w:right w:val="single" w:sz="4" w:space="0" w:color="auto"/>
            </w:tcBorders>
            <w:shd w:val="clear" w:color="auto" w:fill="auto"/>
            <w:noWrap/>
            <w:hideMark/>
          </w:tcPr>
          <w:p w14:paraId="567002A7"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 </w:t>
            </w:r>
          </w:p>
        </w:tc>
      </w:tr>
      <w:tr w:rsidR="00E81BB7" w:rsidRPr="00E81BB7" w14:paraId="04028857" w14:textId="77777777" w:rsidTr="00E81BB7">
        <w:trPr>
          <w:trHeight w:val="300"/>
        </w:trPr>
        <w:tc>
          <w:tcPr>
            <w:tcW w:w="3700" w:type="dxa"/>
            <w:tcBorders>
              <w:top w:val="nil"/>
              <w:left w:val="single" w:sz="4" w:space="0" w:color="auto"/>
              <w:bottom w:val="single" w:sz="4" w:space="0" w:color="auto"/>
              <w:right w:val="single" w:sz="4" w:space="0" w:color="auto"/>
            </w:tcBorders>
            <w:shd w:val="clear" w:color="auto" w:fill="auto"/>
            <w:hideMark/>
          </w:tcPr>
          <w:p w14:paraId="26D5C4A6"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ECE Q&amp;E Allocation</w:t>
            </w:r>
          </w:p>
        </w:tc>
        <w:tc>
          <w:tcPr>
            <w:tcW w:w="1340" w:type="dxa"/>
            <w:tcBorders>
              <w:top w:val="nil"/>
              <w:left w:val="nil"/>
              <w:bottom w:val="single" w:sz="4" w:space="0" w:color="auto"/>
              <w:right w:val="single" w:sz="4" w:space="0" w:color="auto"/>
            </w:tcBorders>
            <w:shd w:val="clear" w:color="auto" w:fill="auto"/>
            <w:hideMark/>
          </w:tcPr>
          <w:p w14:paraId="71E5CEBF"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389,967</w:t>
            </w:r>
          </w:p>
        </w:tc>
        <w:tc>
          <w:tcPr>
            <w:tcW w:w="1220" w:type="dxa"/>
            <w:tcBorders>
              <w:top w:val="nil"/>
              <w:left w:val="nil"/>
              <w:bottom w:val="single" w:sz="4" w:space="0" w:color="auto"/>
              <w:right w:val="single" w:sz="4" w:space="0" w:color="auto"/>
            </w:tcBorders>
            <w:shd w:val="clear" w:color="auto" w:fill="auto"/>
            <w:hideMark/>
          </w:tcPr>
          <w:p w14:paraId="1839694E"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435,798</w:t>
            </w:r>
          </w:p>
        </w:tc>
        <w:tc>
          <w:tcPr>
            <w:tcW w:w="1380" w:type="dxa"/>
            <w:tcBorders>
              <w:top w:val="nil"/>
              <w:left w:val="nil"/>
              <w:bottom w:val="single" w:sz="4" w:space="0" w:color="auto"/>
              <w:right w:val="single" w:sz="4" w:space="0" w:color="auto"/>
            </w:tcBorders>
            <w:shd w:val="clear" w:color="auto" w:fill="auto"/>
            <w:noWrap/>
            <w:hideMark/>
          </w:tcPr>
          <w:p w14:paraId="6D8988CF"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-45,831</w:t>
            </w:r>
          </w:p>
        </w:tc>
        <w:tc>
          <w:tcPr>
            <w:tcW w:w="1380" w:type="dxa"/>
            <w:tcBorders>
              <w:top w:val="nil"/>
              <w:left w:val="nil"/>
              <w:bottom w:val="single" w:sz="4" w:space="0" w:color="auto"/>
              <w:right w:val="single" w:sz="4" w:space="0" w:color="auto"/>
            </w:tcBorders>
            <w:shd w:val="clear" w:color="auto" w:fill="auto"/>
            <w:noWrap/>
            <w:hideMark/>
          </w:tcPr>
          <w:p w14:paraId="5052653C"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 </w:t>
            </w:r>
          </w:p>
        </w:tc>
      </w:tr>
      <w:tr w:rsidR="00E81BB7" w:rsidRPr="00E81BB7" w14:paraId="16BF1FD4" w14:textId="77777777" w:rsidTr="00E81BB7">
        <w:trPr>
          <w:trHeight w:val="300"/>
        </w:trPr>
        <w:tc>
          <w:tcPr>
            <w:tcW w:w="3700" w:type="dxa"/>
            <w:tcBorders>
              <w:top w:val="nil"/>
              <w:left w:val="single" w:sz="4" w:space="0" w:color="auto"/>
              <w:bottom w:val="single" w:sz="4" w:space="0" w:color="auto"/>
              <w:right w:val="single" w:sz="4" w:space="0" w:color="auto"/>
            </w:tcBorders>
            <w:shd w:val="clear" w:color="auto" w:fill="auto"/>
            <w:hideMark/>
          </w:tcPr>
          <w:p w14:paraId="70352767"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Transportation Allocation</w:t>
            </w:r>
          </w:p>
        </w:tc>
        <w:tc>
          <w:tcPr>
            <w:tcW w:w="1340" w:type="dxa"/>
            <w:tcBorders>
              <w:top w:val="nil"/>
              <w:left w:val="nil"/>
              <w:bottom w:val="single" w:sz="4" w:space="0" w:color="auto"/>
              <w:right w:val="single" w:sz="4" w:space="0" w:color="auto"/>
            </w:tcBorders>
            <w:shd w:val="clear" w:color="auto" w:fill="auto"/>
            <w:hideMark/>
          </w:tcPr>
          <w:p w14:paraId="4235844B"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6,600,313</w:t>
            </w:r>
          </w:p>
        </w:tc>
        <w:tc>
          <w:tcPr>
            <w:tcW w:w="1220" w:type="dxa"/>
            <w:tcBorders>
              <w:top w:val="nil"/>
              <w:left w:val="nil"/>
              <w:bottom w:val="single" w:sz="4" w:space="0" w:color="auto"/>
              <w:right w:val="single" w:sz="4" w:space="0" w:color="auto"/>
            </w:tcBorders>
            <w:shd w:val="clear" w:color="auto" w:fill="auto"/>
            <w:hideMark/>
          </w:tcPr>
          <w:p w14:paraId="1A20FE0D"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6,600,313</w:t>
            </w:r>
          </w:p>
        </w:tc>
        <w:tc>
          <w:tcPr>
            <w:tcW w:w="1380" w:type="dxa"/>
            <w:tcBorders>
              <w:top w:val="nil"/>
              <w:left w:val="nil"/>
              <w:bottom w:val="single" w:sz="4" w:space="0" w:color="auto"/>
              <w:right w:val="single" w:sz="4" w:space="0" w:color="auto"/>
            </w:tcBorders>
            <w:shd w:val="clear" w:color="auto" w:fill="auto"/>
            <w:noWrap/>
            <w:hideMark/>
          </w:tcPr>
          <w:p w14:paraId="7EBEF32A"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0</w:t>
            </w:r>
          </w:p>
        </w:tc>
        <w:tc>
          <w:tcPr>
            <w:tcW w:w="1380" w:type="dxa"/>
            <w:tcBorders>
              <w:top w:val="nil"/>
              <w:left w:val="nil"/>
              <w:bottom w:val="single" w:sz="4" w:space="0" w:color="auto"/>
              <w:right w:val="single" w:sz="4" w:space="0" w:color="auto"/>
            </w:tcBorders>
            <w:shd w:val="clear" w:color="auto" w:fill="auto"/>
            <w:noWrap/>
            <w:hideMark/>
          </w:tcPr>
          <w:p w14:paraId="7E83862B"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 </w:t>
            </w:r>
          </w:p>
        </w:tc>
      </w:tr>
      <w:tr w:rsidR="00E81BB7" w:rsidRPr="00E81BB7" w14:paraId="235DD6C2" w14:textId="77777777" w:rsidTr="00E81BB7">
        <w:trPr>
          <w:trHeight w:val="300"/>
        </w:trPr>
        <w:tc>
          <w:tcPr>
            <w:tcW w:w="3700" w:type="dxa"/>
            <w:tcBorders>
              <w:top w:val="nil"/>
              <w:left w:val="single" w:sz="4" w:space="0" w:color="auto"/>
              <w:bottom w:val="single" w:sz="4" w:space="0" w:color="auto"/>
              <w:right w:val="single" w:sz="4" w:space="0" w:color="auto"/>
            </w:tcBorders>
            <w:shd w:val="clear" w:color="auto" w:fill="auto"/>
            <w:hideMark/>
          </w:tcPr>
          <w:p w14:paraId="3D34B366"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Administration and Governance Allocation</w:t>
            </w:r>
          </w:p>
        </w:tc>
        <w:tc>
          <w:tcPr>
            <w:tcW w:w="1340" w:type="dxa"/>
            <w:tcBorders>
              <w:top w:val="nil"/>
              <w:left w:val="nil"/>
              <w:bottom w:val="single" w:sz="4" w:space="0" w:color="auto"/>
              <w:right w:val="single" w:sz="4" w:space="0" w:color="auto"/>
            </w:tcBorders>
            <w:shd w:val="clear" w:color="auto" w:fill="auto"/>
            <w:hideMark/>
          </w:tcPr>
          <w:p w14:paraId="29D3306A"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3,526,887</w:t>
            </w:r>
          </w:p>
        </w:tc>
        <w:tc>
          <w:tcPr>
            <w:tcW w:w="1220" w:type="dxa"/>
            <w:tcBorders>
              <w:top w:val="nil"/>
              <w:left w:val="nil"/>
              <w:bottom w:val="single" w:sz="4" w:space="0" w:color="auto"/>
              <w:right w:val="single" w:sz="4" w:space="0" w:color="auto"/>
            </w:tcBorders>
            <w:shd w:val="clear" w:color="auto" w:fill="auto"/>
            <w:hideMark/>
          </w:tcPr>
          <w:p w14:paraId="25F51C9D"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3,521,260</w:t>
            </w:r>
          </w:p>
        </w:tc>
        <w:tc>
          <w:tcPr>
            <w:tcW w:w="1380" w:type="dxa"/>
            <w:tcBorders>
              <w:top w:val="nil"/>
              <w:left w:val="nil"/>
              <w:bottom w:val="single" w:sz="4" w:space="0" w:color="auto"/>
              <w:right w:val="single" w:sz="4" w:space="0" w:color="auto"/>
            </w:tcBorders>
            <w:shd w:val="clear" w:color="auto" w:fill="auto"/>
            <w:noWrap/>
            <w:hideMark/>
          </w:tcPr>
          <w:p w14:paraId="47577F2A"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5,627</w:t>
            </w:r>
          </w:p>
        </w:tc>
        <w:tc>
          <w:tcPr>
            <w:tcW w:w="1380" w:type="dxa"/>
            <w:tcBorders>
              <w:top w:val="nil"/>
              <w:left w:val="nil"/>
              <w:bottom w:val="single" w:sz="4" w:space="0" w:color="auto"/>
              <w:right w:val="single" w:sz="4" w:space="0" w:color="auto"/>
            </w:tcBorders>
            <w:shd w:val="clear" w:color="auto" w:fill="auto"/>
            <w:noWrap/>
            <w:hideMark/>
          </w:tcPr>
          <w:p w14:paraId="02B636B8"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 </w:t>
            </w:r>
          </w:p>
        </w:tc>
      </w:tr>
      <w:tr w:rsidR="00E81BB7" w:rsidRPr="00E81BB7" w14:paraId="4D515E94" w14:textId="77777777" w:rsidTr="00E81BB7">
        <w:trPr>
          <w:trHeight w:val="300"/>
        </w:trPr>
        <w:tc>
          <w:tcPr>
            <w:tcW w:w="3700" w:type="dxa"/>
            <w:tcBorders>
              <w:top w:val="nil"/>
              <w:left w:val="single" w:sz="4" w:space="0" w:color="auto"/>
              <w:bottom w:val="single" w:sz="4" w:space="0" w:color="auto"/>
              <w:right w:val="single" w:sz="4" w:space="0" w:color="auto"/>
            </w:tcBorders>
            <w:shd w:val="clear" w:color="auto" w:fill="auto"/>
            <w:hideMark/>
          </w:tcPr>
          <w:p w14:paraId="6204A6DF"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School Operations Allocation</w:t>
            </w:r>
          </w:p>
        </w:tc>
        <w:tc>
          <w:tcPr>
            <w:tcW w:w="1340" w:type="dxa"/>
            <w:tcBorders>
              <w:top w:val="nil"/>
              <w:left w:val="nil"/>
              <w:bottom w:val="single" w:sz="4" w:space="0" w:color="auto"/>
              <w:right w:val="single" w:sz="4" w:space="0" w:color="auto"/>
            </w:tcBorders>
            <w:shd w:val="clear" w:color="auto" w:fill="auto"/>
            <w:hideMark/>
          </w:tcPr>
          <w:p w14:paraId="6782940C"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6,933,184</w:t>
            </w:r>
          </w:p>
        </w:tc>
        <w:tc>
          <w:tcPr>
            <w:tcW w:w="1220" w:type="dxa"/>
            <w:tcBorders>
              <w:top w:val="nil"/>
              <w:left w:val="nil"/>
              <w:bottom w:val="single" w:sz="4" w:space="0" w:color="auto"/>
              <w:right w:val="single" w:sz="4" w:space="0" w:color="auto"/>
            </w:tcBorders>
            <w:shd w:val="clear" w:color="auto" w:fill="auto"/>
            <w:hideMark/>
          </w:tcPr>
          <w:p w14:paraId="177684CD"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6,821,493</w:t>
            </w:r>
          </w:p>
        </w:tc>
        <w:tc>
          <w:tcPr>
            <w:tcW w:w="1380" w:type="dxa"/>
            <w:tcBorders>
              <w:top w:val="nil"/>
              <w:left w:val="nil"/>
              <w:bottom w:val="single" w:sz="4" w:space="0" w:color="auto"/>
              <w:right w:val="single" w:sz="4" w:space="0" w:color="auto"/>
            </w:tcBorders>
            <w:shd w:val="clear" w:color="auto" w:fill="auto"/>
            <w:noWrap/>
            <w:hideMark/>
          </w:tcPr>
          <w:p w14:paraId="38D16A4A"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111,691</w:t>
            </w:r>
          </w:p>
        </w:tc>
        <w:tc>
          <w:tcPr>
            <w:tcW w:w="1380" w:type="dxa"/>
            <w:tcBorders>
              <w:top w:val="nil"/>
              <w:left w:val="nil"/>
              <w:bottom w:val="single" w:sz="4" w:space="0" w:color="auto"/>
              <w:right w:val="single" w:sz="4" w:space="0" w:color="auto"/>
            </w:tcBorders>
            <w:shd w:val="clear" w:color="auto" w:fill="auto"/>
            <w:noWrap/>
            <w:hideMark/>
          </w:tcPr>
          <w:p w14:paraId="54E76D1A"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Note 4</w:t>
            </w:r>
          </w:p>
        </w:tc>
      </w:tr>
      <w:tr w:rsidR="00E81BB7" w:rsidRPr="00E81BB7" w14:paraId="3D3C0459" w14:textId="77777777" w:rsidTr="00E81BB7">
        <w:trPr>
          <w:trHeight w:val="1140"/>
        </w:trPr>
        <w:tc>
          <w:tcPr>
            <w:tcW w:w="3700" w:type="dxa"/>
            <w:tcBorders>
              <w:top w:val="nil"/>
              <w:left w:val="single" w:sz="4" w:space="0" w:color="auto"/>
              <w:bottom w:val="single" w:sz="4" w:space="0" w:color="auto"/>
              <w:right w:val="single" w:sz="4" w:space="0" w:color="auto"/>
            </w:tcBorders>
            <w:shd w:val="clear" w:color="auto" w:fill="auto"/>
            <w:hideMark/>
          </w:tcPr>
          <w:p w14:paraId="45A62F54"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Declining Enrolment Adjustment</w:t>
            </w:r>
          </w:p>
        </w:tc>
        <w:tc>
          <w:tcPr>
            <w:tcW w:w="1340" w:type="dxa"/>
            <w:tcBorders>
              <w:top w:val="nil"/>
              <w:left w:val="nil"/>
              <w:bottom w:val="single" w:sz="4" w:space="0" w:color="auto"/>
              <w:right w:val="single" w:sz="4" w:space="0" w:color="auto"/>
            </w:tcBorders>
            <w:shd w:val="clear" w:color="auto" w:fill="auto"/>
            <w:hideMark/>
          </w:tcPr>
          <w:p w14:paraId="13728202"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136,609</w:t>
            </w:r>
          </w:p>
        </w:tc>
        <w:tc>
          <w:tcPr>
            <w:tcW w:w="1220" w:type="dxa"/>
            <w:tcBorders>
              <w:top w:val="nil"/>
              <w:left w:val="nil"/>
              <w:bottom w:val="single" w:sz="4" w:space="0" w:color="auto"/>
              <w:right w:val="single" w:sz="4" w:space="0" w:color="auto"/>
            </w:tcBorders>
            <w:shd w:val="clear" w:color="auto" w:fill="auto"/>
            <w:hideMark/>
          </w:tcPr>
          <w:p w14:paraId="2AF24E0F"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0</w:t>
            </w:r>
          </w:p>
        </w:tc>
        <w:tc>
          <w:tcPr>
            <w:tcW w:w="1380" w:type="dxa"/>
            <w:tcBorders>
              <w:top w:val="nil"/>
              <w:left w:val="nil"/>
              <w:bottom w:val="single" w:sz="4" w:space="0" w:color="auto"/>
              <w:right w:val="single" w:sz="4" w:space="0" w:color="auto"/>
            </w:tcBorders>
            <w:shd w:val="clear" w:color="auto" w:fill="auto"/>
            <w:noWrap/>
            <w:hideMark/>
          </w:tcPr>
          <w:p w14:paraId="2CA96C4B"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136,609</w:t>
            </w:r>
          </w:p>
        </w:tc>
        <w:tc>
          <w:tcPr>
            <w:tcW w:w="1380" w:type="dxa"/>
            <w:tcBorders>
              <w:top w:val="nil"/>
              <w:left w:val="nil"/>
              <w:bottom w:val="single" w:sz="4" w:space="0" w:color="auto"/>
              <w:right w:val="single" w:sz="4" w:space="0" w:color="auto"/>
            </w:tcBorders>
            <w:shd w:val="clear" w:color="auto" w:fill="auto"/>
            <w:noWrap/>
            <w:hideMark/>
          </w:tcPr>
          <w:p w14:paraId="7AAC40B9"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Note 5</w:t>
            </w:r>
          </w:p>
        </w:tc>
      </w:tr>
      <w:tr w:rsidR="00E81BB7" w:rsidRPr="00E81BB7" w14:paraId="1B1C8CF6" w14:textId="77777777" w:rsidTr="00E81BB7">
        <w:trPr>
          <w:trHeight w:val="300"/>
        </w:trPr>
        <w:tc>
          <w:tcPr>
            <w:tcW w:w="3700" w:type="dxa"/>
            <w:tcBorders>
              <w:top w:val="nil"/>
              <w:left w:val="single" w:sz="4" w:space="0" w:color="auto"/>
              <w:bottom w:val="single" w:sz="4" w:space="0" w:color="auto"/>
              <w:right w:val="single" w:sz="4" w:space="0" w:color="auto"/>
            </w:tcBorders>
            <w:shd w:val="clear" w:color="auto" w:fill="auto"/>
            <w:hideMark/>
          </w:tcPr>
          <w:p w14:paraId="427FB003"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Indigenous Education Allocation</w:t>
            </w:r>
          </w:p>
        </w:tc>
        <w:tc>
          <w:tcPr>
            <w:tcW w:w="1340" w:type="dxa"/>
            <w:tcBorders>
              <w:top w:val="nil"/>
              <w:left w:val="nil"/>
              <w:bottom w:val="single" w:sz="4" w:space="0" w:color="auto"/>
              <w:right w:val="single" w:sz="4" w:space="0" w:color="auto"/>
            </w:tcBorders>
            <w:shd w:val="clear" w:color="auto" w:fill="auto"/>
            <w:hideMark/>
          </w:tcPr>
          <w:p w14:paraId="37902939"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1,936,411</w:t>
            </w:r>
          </w:p>
        </w:tc>
        <w:tc>
          <w:tcPr>
            <w:tcW w:w="1220" w:type="dxa"/>
            <w:tcBorders>
              <w:top w:val="nil"/>
              <w:left w:val="nil"/>
              <w:bottom w:val="single" w:sz="4" w:space="0" w:color="auto"/>
              <w:right w:val="single" w:sz="4" w:space="0" w:color="auto"/>
            </w:tcBorders>
            <w:shd w:val="clear" w:color="auto" w:fill="auto"/>
            <w:hideMark/>
          </w:tcPr>
          <w:p w14:paraId="308A4A26"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1,892,759</w:t>
            </w:r>
          </w:p>
        </w:tc>
        <w:tc>
          <w:tcPr>
            <w:tcW w:w="1380" w:type="dxa"/>
            <w:tcBorders>
              <w:top w:val="nil"/>
              <w:left w:val="nil"/>
              <w:bottom w:val="single" w:sz="4" w:space="0" w:color="auto"/>
              <w:right w:val="single" w:sz="4" w:space="0" w:color="auto"/>
            </w:tcBorders>
            <w:shd w:val="clear" w:color="auto" w:fill="auto"/>
            <w:noWrap/>
            <w:hideMark/>
          </w:tcPr>
          <w:p w14:paraId="444B507F"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43,652</w:t>
            </w:r>
          </w:p>
        </w:tc>
        <w:tc>
          <w:tcPr>
            <w:tcW w:w="1380" w:type="dxa"/>
            <w:tcBorders>
              <w:top w:val="nil"/>
              <w:left w:val="nil"/>
              <w:bottom w:val="single" w:sz="4" w:space="0" w:color="auto"/>
              <w:right w:val="single" w:sz="4" w:space="0" w:color="auto"/>
            </w:tcBorders>
            <w:shd w:val="clear" w:color="auto" w:fill="auto"/>
            <w:noWrap/>
            <w:hideMark/>
          </w:tcPr>
          <w:p w14:paraId="185BF6EC"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 </w:t>
            </w:r>
          </w:p>
        </w:tc>
      </w:tr>
      <w:tr w:rsidR="00E81BB7" w:rsidRPr="00E81BB7" w14:paraId="1A31C1D7" w14:textId="77777777" w:rsidTr="00E81BB7">
        <w:trPr>
          <w:trHeight w:val="1140"/>
        </w:trPr>
        <w:tc>
          <w:tcPr>
            <w:tcW w:w="3700" w:type="dxa"/>
            <w:tcBorders>
              <w:top w:val="nil"/>
              <w:left w:val="single" w:sz="4" w:space="0" w:color="auto"/>
              <w:bottom w:val="single" w:sz="4" w:space="0" w:color="auto"/>
              <w:right w:val="single" w:sz="4" w:space="0" w:color="auto"/>
            </w:tcBorders>
            <w:shd w:val="clear" w:color="auto" w:fill="auto"/>
            <w:hideMark/>
          </w:tcPr>
          <w:p w14:paraId="315868F3"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Mental Health and Well-Being Grant</w:t>
            </w:r>
          </w:p>
        </w:tc>
        <w:tc>
          <w:tcPr>
            <w:tcW w:w="1340" w:type="dxa"/>
            <w:tcBorders>
              <w:top w:val="nil"/>
              <w:left w:val="nil"/>
              <w:bottom w:val="single" w:sz="4" w:space="0" w:color="auto"/>
              <w:right w:val="single" w:sz="4" w:space="0" w:color="auto"/>
            </w:tcBorders>
            <w:shd w:val="clear" w:color="auto" w:fill="auto"/>
            <w:hideMark/>
          </w:tcPr>
          <w:p w14:paraId="27BEF2DE"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783,735</w:t>
            </w:r>
          </w:p>
        </w:tc>
        <w:tc>
          <w:tcPr>
            <w:tcW w:w="1220" w:type="dxa"/>
            <w:tcBorders>
              <w:top w:val="nil"/>
              <w:left w:val="nil"/>
              <w:bottom w:val="single" w:sz="4" w:space="0" w:color="auto"/>
              <w:right w:val="single" w:sz="4" w:space="0" w:color="auto"/>
            </w:tcBorders>
            <w:shd w:val="clear" w:color="auto" w:fill="auto"/>
            <w:hideMark/>
          </w:tcPr>
          <w:p w14:paraId="6377F827"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484,225</w:t>
            </w:r>
          </w:p>
        </w:tc>
        <w:tc>
          <w:tcPr>
            <w:tcW w:w="1380" w:type="dxa"/>
            <w:tcBorders>
              <w:top w:val="nil"/>
              <w:left w:val="nil"/>
              <w:bottom w:val="single" w:sz="4" w:space="0" w:color="auto"/>
              <w:right w:val="single" w:sz="4" w:space="0" w:color="auto"/>
            </w:tcBorders>
            <w:shd w:val="clear" w:color="auto" w:fill="auto"/>
            <w:noWrap/>
            <w:hideMark/>
          </w:tcPr>
          <w:p w14:paraId="0C77D147"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299,510</w:t>
            </w:r>
          </w:p>
        </w:tc>
        <w:tc>
          <w:tcPr>
            <w:tcW w:w="1380" w:type="dxa"/>
            <w:tcBorders>
              <w:top w:val="nil"/>
              <w:left w:val="nil"/>
              <w:bottom w:val="single" w:sz="4" w:space="0" w:color="auto"/>
              <w:right w:val="single" w:sz="4" w:space="0" w:color="auto"/>
            </w:tcBorders>
            <w:shd w:val="clear" w:color="auto" w:fill="auto"/>
            <w:noWrap/>
            <w:hideMark/>
          </w:tcPr>
          <w:p w14:paraId="6BA453DA"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Note 6</w:t>
            </w:r>
          </w:p>
        </w:tc>
      </w:tr>
      <w:tr w:rsidR="00E81BB7" w:rsidRPr="00E81BB7" w14:paraId="5AF7F443" w14:textId="77777777" w:rsidTr="00E81BB7">
        <w:trPr>
          <w:trHeight w:val="300"/>
        </w:trPr>
        <w:tc>
          <w:tcPr>
            <w:tcW w:w="3700" w:type="dxa"/>
            <w:tcBorders>
              <w:top w:val="nil"/>
              <w:left w:val="single" w:sz="4" w:space="0" w:color="auto"/>
              <w:bottom w:val="single" w:sz="4" w:space="0" w:color="auto"/>
              <w:right w:val="single" w:sz="4" w:space="0" w:color="auto"/>
            </w:tcBorders>
            <w:shd w:val="clear" w:color="000000" w:fill="FFFFFF"/>
            <w:hideMark/>
          </w:tcPr>
          <w:p w14:paraId="01E62176"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Supports for Students Fund</w:t>
            </w:r>
          </w:p>
        </w:tc>
        <w:tc>
          <w:tcPr>
            <w:tcW w:w="1340" w:type="dxa"/>
            <w:tcBorders>
              <w:top w:val="nil"/>
              <w:left w:val="nil"/>
              <w:bottom w:val="single" w:sz="4" w:space="0" w:color="auto"/>
              <w:right w:val="single" w:sz="4" w:space="0" w:color="auto"/>
            </w:tcBorders>
            <w:shd w:val="clear" w:color="000000" w:fill="FFFFFF"/>
            <w:hideMark/>
          </w:tcPr>
          <w:p w14:paraId="749E62DD"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782,644</w:t>
            </w:r>
          </w:p>
        </w:tc>
        <w:tc>
          <w:tcPr>
            <w:tcW w:w="1220" w:type="dxa"/>
            <w:tcBorders>
              <w:top w:val="nil"/>
              <w:left w:val="nil"/>
              <w:bottom w:val="single" w:sz="4" w:space="0" w:color="auto"/>
              <w:right w:val="single" w:sz="4" w:space="0" w:color="auto"/>
            </w:tcBorders>
            <w:shd w:val="clear" w:color="000000" w:fill="FFFFFF"/>
            <w:hideMark/>
          </w:tcPr>
          <w:p w14:paraId="7B439E90"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763,893</w:t>
            </w:r>
          </w:p>
        </w:tc>
        <w:tc>
          <w:tcPr>
            <w:tcW w:w="1380" w:type="dxa"/>
            <w:tcBorders>
              <w:top w:val="nil"/>
              <w:left w:val="nil"/>
              <w:bottom w:val="single" w:sz="4" w:space="0" w:color="auto"/>
              <w:right w:val="single" w:sz="4" w:space="0" w:color="auto"/>
            </w:tcBorders>
            <w:shd w:val="clear" w:color="auto" w:fill="auto"/>
            <w:noWrap/>
            <w:hideMark/>
          </w:tcPr>
          <w:p w14:paraId="6C26E8D4"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18,751</w:t>
            </w:r>
          </w:p>
        </w:tc>
        <w:tc>
          <w:tcPr>
            <w:tcW w:w="1380" w:type="dxa"/>
            <w:tcBorders>
              <w:top w:val="nil"/>
              <w:left w:val="nil"/>
              <w:bottom w:val="single" w:sz="4" w:space="0" w:color="auto"/>
              <w:right w:val="single" w:sz="4" w:space="0" w:color="auto"/>
            </w:tcBorders>
            <w:shd w:val="clear" w:color="auto" w:fill="auto"/>
            <w:noWrap/>
            <w:hideMark/>
          </w:tcPr>
          <w:p w14:paraId="2BBF0A39"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 </w:t>
            </w:r>
          </w:p>
        </w:tc>
      </w:tr>
      <w:tr w:rsidR="00E81BB7" w:rsidRPr="00E81BB7" w14:paraId="3D9E966F" w14:textId="77777777" w:rsidTr="00E81BB7">
        <w:trPr>
          <w:trHeight w:val="345"/>
        </w:trPr>
        <w:tc>
          <w:tcPr>
            <w:tcW w:w="3700" w:type="dxa"/>
            <w:tcBorders>
              <w:top w:val="nil"/>
              <w:left w:val="single" w:sz="4" w:space="0" w:color="auto"/>
              <w:bottom w:val="single" w:sz="4" w:space="0" w:color="auto"/>
              <w:right w:val="single" w:sz="4" w:space="0" w:color="auto"/>
            </w:tcBorders>
            <w:shd w:val="clear" w:color="000000" w:fill="FFFFFF"/>
            <w:hideMark/>
          </w:tcPr>
          <w:p w14:paraId="75629A15"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Program Leadership Grant</w:t>
            </w:r>
          </w:p>
        </w:tc>
        <w:tc>
          <w:tcPr>
            <w:tcW w:w="1340" w:type="dxa"/>
            <w:tcBorders>
              <w:top w:val="nil"/>
              <w:left w:val="nil"/>
              <w:bottom w:val="single" w:sz="4" w:space="0" w:color="auto"/>
              <w:right w:val="single" w:sz="4" w:space="0" w:color="auto"/>
            </w:tcBorders>
            <w:shd w:val="clear" w:color="000000" w:fill="FFFFFF"/>
            <w:hideMark/>
          </w:tcPr>
          <w:p w14:paraId="62BE1F79"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1,000,496</w:t>
            </w:r>
          </w:p>
        </w:tc>
        <w:tc>
          <w:tcPr>
            <w:tcW w:w="1220" w:type="dxa"/>
            <w:tcBorders>
              <w:top w:val="nil"/>
              <w:left w:val="nil"/>
              <w:bottom w:val="single" w:sz="4" w:space="0" w:color="auto"/>
              <w:right w:val="single" w:sz="4" w:space="0" w:color="auto"/>
            </w:tcBorders>
            <w:shd w:val="clear" w:color="000000" w:fill="FFFFFF"/>
            <w:hideMark/>
          </w:tcPr>
          <w:p w14:paraId="32CA4AF0"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999,389</w:t>
            </w:r>
          </w:p>
        </w:tc>
        <w:tc>
          <w:tcPr>
            <w:tcW w:w="1380" w:type="dxa"/>
            <w:tcBorders>
              <w:top w:val="nil"/>
              <w:left w:val="nil"/>
              <w:bottom w:val="single" w:sz="4" w:space="0" w:color="auto"/>
              <w:right w:val="single" w:sz="4" w:space="0" w:color="auto"/>
            </w:tcBorders>
            <w:shd w:val="clear" w:color="auto" w:fill="auto"/>
            <w:noWrap/>
            <w:hideMark/>
          </w:tcPr>
          <w:p w14:paraId="15A994D5"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1,107</w:t>
            </w:r>
          </w:p>
        </w:tc>
        <w:tc>
          <w:tcPr>
            <w:tcW w:w="1380" w:type="dxa"/>
            <w:tcBorders>
              <w:top w:val="nil"/>
              <w:left w:val="nil"/>
              <w:bottom w:val="single" w:sz="4" w:space="0" w:color="auto"/>
              <w:right w:val="single" w:sz="4" w:space="0" w:color="auto"/>
            </w:tcBorders>
            <w:shd w:val="clear" w:color="auto" w:fill="auto"/>
            <w:noWrap/>
            <w:hideMark/>
          </w:tcPr>
          <w:p w14:paraId="25BF7956"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 </w:t>
            </w:r>
          </w:p>
        </w:tc>
      </w:tr>
      <w:tr w:rsidR="00E81BB7" w:rsidRPr="00E81BB7" w14:paraId="79038360" w14:textId="77777777" w:rsidTr="00E81BB7">
        <w:trPr>
          <w:trHeight w:val="570"/>
        </w:trPr>
        <w:tc>
          <w:tcPr>
            <w:tcW w:w="3700" w:type="dxa"/>
            <w:tcBorders>
              <w:top w:val="nil"/>
              <w:left w:val="single" w:sz="4" w:space="0" w:color="auto"/>
              <w:bottom w:val="single" w:sz="4" w:space="0" w:color="auto"/>
              <w:right w:val="single" w:sz="4" w:space="0" w:color="auto"/>
            </w:tcBorders>
            <w:shd w:val="clear" w:color="auto" w:fill="auto"/>
            <w:hideMark/>
          </w:tcPr>
          <w:p w14:paraId="07FDF107"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COVID-19 Learning Recovery Fund</w:t>
            </w:r>
          </w:p>
        </w:tc>
        <w:tc>
          <w:tcPr>
            <w:tcW w:w="1340" w:type="dxa"/>
            <w:tcBorders>
              <w:top w:val="nil"/>
              <w:left w:val="nil"/>
              <w:bottom w:val="single" w:sz="4" w:space="0" w:color="auto"/>
              <w:right w:val="single" w:sz="4" w:space="0" w:color="auto"/>
            </w:tcBorders>
            <w:shd w:val="clear" w:color="auto" w:fill="auto"/>
            <w:hideMark/>
          </w:tcPr>
          <w:p w14:paraId="34143EB5"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1,397,821</w:t>
            </w:r>
          </w:p>
        </w:tc>
        <w:tc>
          <w:tcPr>
            <w:tcW w:w="1220" w:type="dxa"/>
            <w:tcBorders>
              <w:top w:val="nil"/>
              <w:left w:val="nil"/>
              <w:bottom w:val="single" w:sz="4" w:space="0" w:color="auto"/>
              <w:right w:val="single" w:sz="4" w:space="0" w:color="auto"/>
            </w:tcBorders>
            <w:shd w:val="clear" w:color="auto" w:fill="auto"/>
            <w:hideMark/>
          </w:tcPr>
          <w:p w14:paraId="07B68331"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0</w:t>
            </w:r>
          </w:p>
        </w:tc>
        <w:tc>
          <w:tcPr>
            <w:tcW w:w="1380" w:type="dxa"/>
            <w:tcBorders>
              <w:top w:val="nil"/>
              <w:left w:val="nil"/>
              <w:bottom w:val="single" w:sz="4" w:space="0" w:color="auto"/>
              <w:right w:val="single" w:sz="4" w:space="0" w:color="auto"/>
            </w:tcBorders>
            <w:shd w:val="clear" w:color="auto" w:fill="auto"/>
            <w:noWrap/>
            <w:hideMark/>
          </w:tcPr>
          <w:p w14:paraId="7FD3B5AE"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1,397,821</w:t>
            </w:r>
          </w:p>
        </w:tc>
        <w:tc>
          <w:tcPr>
            <w:tcW w:w="1380" w:type="dxa"/>
            <w:tcBorders>
              <w:top w:val="nil"/>
              <w:left w:val="nil"/>
              <w:bottom w:val="single" w:sz="4" w:space="0" w:color="auto"/>
              <w:right w:val="single" w:sz="4" w:space="0" w:color="auto"/>
            </w:tcBorders>
            <w:shd w:val="clear" w:color="auto" w:fill="auto"/>
            <w:noWrap/>
            <w:hideMark/>
          </w:tcPr>
          <w:p w14:paraId="77EDCDF7"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Note 7</w:t>
            </w:r>
          </w:p>
        </w:tc>
      </w:tr>
      <w:tr w:rsidR="00E81BB7" w:rsidRPr="00E81BB7" w14:paraId="56D7134B" w14:textId="77777777" w:rsidTr="00E81BB7">
        <w:trPr>
          <w:trHeight w:val="300"/>
        </w:trPr>
        <w:tc>
          <w:tcPr>
            <w:tcW w:w="3700" w:type="dxa"/>
            <w:tcBorders>
              <w:top w:val="nil"/>
              <w:left w:val="single" w:sz="4" w:space="0" w:color="auto"/>
              <w:bottom w:val="single" w:sz="4" w:space="0" w:color="auto"/>
              <w:right w:val="single" w:sz="4" w:space="0" w:color="auto"/>
            </w:tcBorders>
            <w:shd w:val="clear" w:color="000000" w:fill="FFFFFF"/>
            <w:hideMark/>
          </w:tcPr>
          <w:p w14:paraId="16D3E374"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Permanent Financing of NPF</w:t>
            </w:r>
          </w:p>
        </w:tc>
        <w:tc>
          <w:tcPr>
            <w:tcW w:w="1340" w:type="dxa"/>
            <w:tcBorders>
              <w:top w:val="nil"/>
              <w:left w:val="nil"/>
              <w:bottom w:val="single" w:sz="4" w:space="0" w:color="auto"/>
              <w:right w:val="single" w:sz="4" w:space="0" w:color="auto"/>
            </w:tcBorders>
            <w:shd w:val="clear" w:color="000000" w:fill="FFFFFF"/>
            <w:hideMark/>
          </w:tcPr>
          <w:p w14:paraId="59C98A11"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13,793</w:t>
            </w:r>
          </w:p>
        </w:tc>
        <w:tc>
          <w:tcPr>
            <w:tcW w:w="1220" w:type="dxa"/>
            <w:tcBorders>
              <w:top w:val="nil"/>
              <w:left w:val="nil"/>
              <w:bottom w:val="single" w:sz="4" w:space="0" w:color="auto"/>
              <w:right w:val="single" w:sz="4" w:space="0" w:color="auto"/>
            </w:tcBorders>
            <w:shd w:val="clear" w:color="000000" w:fill="FFFFFF"/>
            <w:hideMark/>
          </w:tcPr>
          <w:p w14:paraId="23C29F78"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13,793</w:t>
            </w:r>
          </w:p>
        </w:tc>
        <w:tc>
          <w:tcPr>
            <w:tcW w:w="1380" w:type="dxa"/>
            <w:tcBorders>
              <w:top w:val="nil"/>
              <w:left w:val="nil"/>
              <w:bottom w:val="single" w:sz="4" w:space="0" w:color="auto"/>
              <w:right w:val="single" w:sz="4" w:space="0" w:color="auto"/>
            </w:tcBorders>
            <w:shd w:val="clear" w:color="auto" w:fill="auto"/>
            <w:noWrap/>
            <w:hideMark/>
          </w:tcPr>
          <w:p w14:paraId="7C6C8AA5" w14:textId="77777777" w:rsidR="00E81BB7" w:rsidRPr="00E81BB7" w:rsidRDefault="00E81BB7" w:rsidP="00E81BB7">
            <w:pPr>
              <w:spacing w:after="0" w:line="240" w:lineRule="auto"/>
              <w:jc w:val="right"/>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0</w:t>
            </w:r>
          </w:p>
        </w:tc>
        <w:tc>
          <w:tcPr>
            <w:tcW w:w="1380" w:type="dxa"/>
            <w:tcBorders>
              <w:top w:val="nil"/>
              <w:left w:val="nil"/>
              <w:bottom w:val="single" w:sz="4" w:space="0" w:color="auto"/>
              <w:right w:val="single" w:sz="4" w:space="0" w:color="auto"/>
            </w:tcBorders>
            <w:shd w:val="clear" w:color="auto" w:fill="auto"/>
            <w:noWrap/>
            <w:hideMark/>
          </w:tcPr>
          <w:p w14:paraId="6B0FC3CA" w14:textId="77777777" w:rsidR="00E81BB7" w:rsidRPr="00E81BB7" w:rsidRDefault="00E81BB7" w:rsidP="00E81BB7">
            <w:pPr>
              <w:spacing w:after="0" w:line="240" w:lineRule="auto"/>
              <w:rPr>
                <w:rFonts w:ascii="Lato" w:eastAsia="Times New Roman" w:hAnsi="Lato" w:cs="Calibri"/>
                <w:color w:val="000000"/>
                <w:sz w:val="18"/>
                <w:szCs w:val="18"/>
                <w:lang w:eastAsia="en-CA"/>
              </w:rPr>
            </w:pPr>
            <w:r w:rsidRPr="00E81BB7">
              <w:rPr>
                <w:rFonts w:ascii="Lato" w:eastAsia="Times New Roman" w:hAnsi="Lato" w:cs="Calibri"/>
                <w:color w:val="000000"/>
                <w:sz w:val="18"/>
                <w:szCs w:val="18"/>
                <w:lang w:eastAsia="en-CA"/>
              </w:rPr>
              <w:t> </w:t>
            </w:r>
          </w:p>
        </w:tc>
      </w:tr>
    </w:tbl>
    <w:p w14:paraId="58AC75C8" w14:textId="77777777" w:rsidR="00A26CAA" w:rsidRPr="00E83BA6" w:rsidRDefault="00A26CAA" w:rsidP="00E83BA6">
      <w:pPr>
        <w:rPr>
          <w:lang w:val="en-US"/>
        </w:rPr>
      </w:pPr>
    </w:p>
    <w:p w14:paraId="5534F7F8" w14:textId="7321D7C1" w:rsidR="00265AED" w:rsidRPr="00066A9C" w:rsidRDefault="00DF683B" w:rsidP="00635C08">
      <w:pPr>
        <w:pStyle w:val="NoSpacing"/>
        <w:rPr>
          <w:rFonts w:asciiTheme="majorHAnsi" w:hAnsiTheme="majorHAnsi" w:cstheme="majorHAnsi"/>
          <w:sz w:val="24"/>
          <w:szCs w:val="24"/>
          <w:lang w:val="en-US"/>
        </w:rPr>
      </w:pPr>
      <w:r w:rsidRPr="00066A9C">
        <w:rPr>
          <w:rFonts w:asciiTheme="majorHAnsi" w:hAnsiTheme="majorHAnsi" w:cstheme="majorHAnsi"/>
          <w:sz w:val="24"/>
          <w:szCs w:val="24"/>
          <w:lang w:val="en-US"/>
        </w:rPr>
        <w:t>Significant changes in allocations are as follows:</w:t>
      </w:r>
      <w:r w:rsidR="00635C08" w:rsidRPr="00066A9C">
        <w:rPr>
          <w:rFonts w:asciiTheme="majorHAnsi" w:hAnsiTheme="majorHAnsi" w:cstheme="majorHAnsi"/>
          <w:sz w:val="24"/>
          <w:szCs w:val="24"/>
          <w:lang w:val="en-US"/>
        </w:rPr>
        <w:t xml:space="preserve">  </w:t>
      </w:r>
    </w:p>
    <w:p w14:paraId="315A3889" w14:textId="131F096D" w:rsidR="00265AED" w:rsidRPr="00066A9C" w:rsidRDefault="00290A5F" w:rsidP="00635C08">
      <w:pPr>
        <w:pStyle w:val="NoSpacing"/>
        <w:rPr>
          <w:rFonts w:asciiTheme="majorHAnsi" w:hAnsiTheme="majorHAnsi" w:cstheme="majorHAnsi"/>
          <w:sz w:val="24"/>
          <w:szCs w:val="24"/>
        </w:rPr>
      </w:pPr>
      <w:r w:rsidRPr="00A26CAA">
        <w:rPr>
          <w:rFonts w:asciiTheme="majorHAnsi" w:hAnsiTheme="majorHAnsi" w:cstheme="majorHAnsi"/>
          <w:b/>
          <w:bCs/>
          <w:sz w:val="24"/>
          <w:szCs w:val="24"/>
          <w:lang w:val="en-US"/>
        </w:rPr>
        <w:t>Note 1</w:t>
      </w:r>
      <w:r>
        <w:rPr>
          <w:rFonts w:asciiTheme="majorHAnsi" w:hAnsiTheme="majorHAnsi" w:cstheme="majorHAnsi"/>
          <w:sz w:val="24"/>
          <w:szCs w:val="24"/>
          <w:lang w:val="en-US"/>
        </w:rPr>
        <w:t xml:space="preserve"> - </w:t>
      </w:r>
      <w:r w:rsidR="00635C08" w:rsidRPr="00066A9C">
        <w:rPr>
          <w:rFonts w:asciiTheme="majorHAnsi" w:hAnsiTheme="majorHAnsi" w:cstheme="majorHAnsi"/>
          <w:sz w:val="24"/>
          <w:szCs w:val="24"/>
          <w:lang w:val="en-US"/>
        </w:rPr>
        <w:t xml:space="preserve">The </w:t>
      </w:r>
      <w:r w:rsidR="00635C08" w:rsidRPr="00066A9C">
        <w:rPr>
          <w:rFonts w:asciiTheme="majorHAnsi" w:hAnsiTheme="majorHAnsi" w:cstheme="majorHAnsi"/>
          <w:i/>
          <w:sz w:val="24"/>
          <w:szCs w:val="24"/>
          <w:lang w:val="en-US"/>
        </w:rPr>
        <w:t xml:space="preserve">Special Education </w:t>
      </w:r>
      <w:r w:rsidR="00827A6F" w:rsidRPr="00066A9C">
        <w:rPr>
          <w:rFonts w:asciiTheme="majorHAnsi" w:hAnsiTheme="majorHAnsi" w:cstheme="majorHAnsi"/>
          <w:i/>
          <w:sz w:val="24"/>
          <w:szCs w:val="24"/>
          <w:lang w:val="en-US"/>
        </w:rPr>
        <w:t>A</w:t>
      </w:r>
      <w:r w:rsidR="00635C08" w:rsidRPr="00066A9C">
        <w:rPr>
          <w:rFonts w:asciiTheme="majorHAnsi" w:hAnsiTheme="majorHAnsi" w:cstheme="majorHAnsi"/>
          <w:i/>
          <w:sz w:val="24"/>
          <w:szCs w:val="24"/>
          <w:lang w:val="en-US"/>
        </w:rPr>
        <w:t>llocation</w:t>
      </w:r>
      <w:r w:rsidR="00635C08" w:rsidRPr="00066A9C">
        <w:rPr>
          <w:rFonts w:asciiTheme="majorHAnsi" w:hAnsiTheme="majorHAnsi" w:cstheme="majorHAnsi"/>
          <w:sz w:val="24"/>
          <w:szCs w:val="24"/>
          <w:lang w:val="en-US"/>
        </w:rPr>
        <w:t xml:space="preserve"> consists of several components, </w:t>
      </w:r>
      <w:r w:rsidR="00994860">
        <w:rPr>
          <w:rFonts w:asciiTheme="majorHAnsi" w:hAnsiTheme="majorHAnsi" w:cstheme="majorHAnsi"/>
          <w:sz w:val="24"/>
          <w:szCs w:val="24"/>
          <w:lang w:val="en-US"/>
        </w:rPr>
        <w:t>the S</w:t>
      </w:r>
      <w:r w:rsidR="006737C2">
        <w:rPr>
          <w:rFonts w:asciiTheme="majorHAnsi" w:hAnsiTheme="majorHAnsi" w:cstheme="majorHAnsi"/>
          <w:sz w:val="24"/>
          <w:szCs w:val="24"/>
          <w:lang w:val="en-US"/>
        </w:rPr>
        <w:t xml:space="preserve">pecial Education Per Pupil Amount, </w:t>
      </w:r>
      <w:r w:rsidR="00F90042">
        <w:rPr>
          <w:rFonts w:asciiTheme="majorHAnsi" w:hAnsiTheme="majorHAnsi" w:cstheme="majorHAnsi"/>
          <w:sz w:val="24"/>
          <w:szCs w:val="24"/>
          <w:lang w:val="en-US"/>
        </w:rPr>
        <w:t>which</w:t>
      </w:r>
      <w:r w:rsidR="00F8733B">
        <w:rPr>
          <w:rFonts w:asciiTheme="majorHAnsi" w:hAnsiTheme="majorHAnsi" w:cstheme="majorHAnsi"/>
          <w:sz w:val="24"/>
          <w:szCs w:val="24"/>
          <w:lang w:val="en-US"/>
        </w:rPr>
        <w:t xml:space="preserve"> fluctuates based on enrolment</w:t>
      </w:r>
      <w:r w:rsidR="00CC68FF">
        <w:rPr>
          <w:rFonts w:asciiTheme="majorHAnsi" w:hAnsiTheme="majorHAnsi" w:cstheme="majorHAnsi"/>
          <w:sz w:val="24"/>
          <w:szCs w:val="24"/>
          <w:lang w:val="en-US"/>
        </w:rPr>
        <w:t>, an increase of $30K</w:t>
      </w:r>
      <w:r w:rsidR="00F8733B">
        <w:rPr>
          <w:rFonts w:asciiTheme="majorHAnsi" w:hAnsiTheme="majorHAnsi" w:cstheme="majorHAnsi"/>
          <w:sz w:val="24"/>
          <w:szCs w:val="24"/>
          <w:lang w:val="en-US"/>
        </w:rPr>
        <w:t xml:space="preserve">. </w:t>
      </w:r>
      <w:r w:rsidR="00F01275">
        <w:rPr>
          <w:rFonts w:asciiTheme="majorHAnsi" w:hAnsiTheme="majorHAnsi" w:cstheme="majorHAnsi"/>
          <w:sz w:val="24"/>
          <w:szCs w:val="24"/>
          <w:lang w:val="en-US"/>
        </w:rPr>
        <w:t>The S</w:t>
      </w:r>
      <w:r w:rsidR="00F01275" w:rsidRPr="00066A9C">
        <w:rPr>
          <w:rFonts w:asciiTheme="majorHAnsi" w:hAnsiTheme="majorHAnsi" w:cstheme="majorHAnsi"/>
          <w:sz w:val="24"/>
          <w:szCs w:val="24"/>
          <w:lang w:val="en-US"/>
        </w:rPr>
        <w:t>pecial Incident Portion</w:t>
      </w:r>
      <w:r w:rsidR="00DF683B" w:rsidRPr="00066A9C">
        <w:rPr>
          <w:rFonts w:asciiTheme="majorHAnsi" w:hAnsiTheme="majorHAnsi" w:cstheme="majorHAnsi"/>
          <w:sz w:val="24"/>
          <w:szCs w:val="24"/>
          <w:lang w:val="en-US"/>
        </w:rPr>
        <w:t xml:space="preserve"> is fund</w:t>
      </w:r>
      <w:r w:rsidR="004B2B94">
        <w:rPr>
          <w:rFonts w:asciiTheme="majorHAnsi" w:hAnsiTheme="majorHAnsi" w:cstheme="majorHAnsi"/>
          <w:sz w:val="24"/>
          <w:szCs w:val="24"/>
          <w:lang w:val="en-US"/>
        </w:rPr>
        <w:t>ed</w:t>
      </w:r>
      <w:r w:rsidR="00DF683B" w:rsidRPr="00066A9C">
        <w:rPr>
          <w:rFonts w:asciiTheme="majorHAnsi" w:hAnsiTheme="majorHAnsi" w:cstheme="majorHAnsi"/>
          <w:sz w:val="24"/>
          <w:szCs w:val="24"/>
          <w:lang w:val="en-US"/>
        </w:rPr>
        <w:t xml:space="preserve"> </w:t>
      </w:r>
      <w:r w:rsidR="0009784A">
        <w:rPr>
          <w:rFonts w:asciiTheme="majorHAnsi" w:hAnsiTheme="majorHAnsi" w:cstheme="majorHAnsi"/>
          <w:sz w:val="24"/>
          <w:szCs w:val="24"/>
          <w:lang w:val="en-US"/>
        </w:rPr>
        <w:t>through an application process and is</w:t>
      </w:r>
      <w:r w:rsidR="00DF683B" w:rsidRPr="00066A9C">
        <w:rPr>
          <w:rFonts w:asciiTheme="majorHAnsi" w:hAnsiTheme="majorHAnsi" w:cstheme="majorHAnsi"/>
          <w:sz w:val="24"/>
          <w:szCs w:val="24"/>
          <w:lang w:val="en-US"/>
        </w:rPr>
        <w:t xml:space="preserve"> based on t</w:t>
      </w:r>
      <w:r w:rsidR="0009784A">
        <w:rPr>
          <w:rFonts w:asciiTheme="majorHAnsi" w:hAnsiTheme="majorHAnsi" w:cstheme="majorHAnsi"/>
          <w:sz w:val="24"/>
          <w:szCs w:val="24"/>
          <w:lang w:val="en-US"/>
        </w:rPr>
        <w:t>he specific needs of our system</w:t>
      </w:r>
      <w:r w:rsidR="00DF683B" w:rsidRPr="00066A9C">
        <w:rPr>
          <w:rFonts w:asciiTheme="majorHAnsi" w:hAnsiTheme="majorHAnsi" w:cstheme="majorHAnsi"/>
          <w:sz w:val="24"/>
          <w:szCs w:val="24"/>
          <w:lang w:val="en-US"/>
        </w:rPr>
        <w:t xml:space="preserve"> and students.  We project this amoun</w:t>
      </w:r>
      <w:r w:rsidR="007E2D11" w:rsidRPr="00066A9C">
        <w:rPr>
          <w:rFonts w:asciiTheme="majorHAnsi" w:hAnsiTheme="majorHAnsi" w:cstheme="majorHAnsi"/>
          <w:sz w:val="24"/>
          <w:szCs w:val="24"/>
          <w:lang w:val="en-US"/>
        </w:rPr>
        <w:t xml:space="preserve">t </w:t>
      </w:r>
      <w:r w:rsidR="0009784A">
        <w:rPr>
          <w:rFonts w:asciiTheme="majorHAnsi" w:hAnsiTheme="majorHAnsi" w:cstheme="majorHAnsi"/>
          <w:sz w:val="24"/>
          <w:szCs w:val="24"/>
          <w:lang w:val="en-US"/>
        </w:rPr>
        <w:t>in the budget</w:t>
      </w:r>
      <w:r w:rsidR="007E2D11" w:rsidRPr="00066A9C">
        <w:rPr>
          <w:rFonts w:asciiTheme="majorHAnsi" w:hAnsiTheme="majorHAnsi" w:cstheme="majorHAnsi"/>
          <w:sz w:val="24"/>
          <w:szCs w:val="24"/>
          <w:lang w:val="en-US"/>
        </w:rPr>
        <w:t xml:space="preserve"> considering</w:t>
      </w:r>
      <w:r w:rsidR="00DF683B" w:rsidRPr="00066A9C">
        <w:rPr>
          <w:rFonts w:asciiTheme="majorHAnsi" w:hAnsiTheme="majorHAnsi" w:cstheme="majorHAnsi"/>
          <w:sz w:val="24"/>
          <w:szCs w:val="24"/>
          <w:lang w:val="en-US"/>
        </w:rPr>
        <w:t xml:space="preserve"> historical trending </w:t>
      </w:r>
      <w:r w:rsidR="0009784A">
        <w:rPr>
          <w:rFonts w:asciiTheme="majorHAnsi" w:hAnsiTheme="majorHAnsi" w:cstheme="majorHAnsi"/>
          <w:sz w:val="24"/>
          <w:szCs w:val="24"/>
          <w:lang w:val="en-US"/>
        </w:rPr>
        <w:t>and forecasted demands</w:t>
      </w:r>
      <w:r w:rsidR="00DF683B" w:rsidRPr="00066A9C">
        <w:rPr>
          <w:rFonts w:asciiTheme="majorHAnsi" w:hAnsiTheme="majorHAnsi" w:cstheme="majorHAnsi"/>
          <w:sz w:val="24"/>
          <w:szCs w:val="24"/>
          <w:lang w:val="en-US"/>
        </w:rPr>
        <w:t>.</w:t>
      </w:r>
      <w:r w:rsidR="007E2D11" w:rsidRPr="00066A9C">
        <w:rPr>
          <w:rFonts w:asciiTheme="majorHAnsi" w:hAnsiTheme="majorHAnsi" w:cstheme="majorHAnsi"/>
          <w:sz w:val="24"/>
          <w:szCs w:val="24"/>
          <w:lang w:val="en-US"/>
        </w:rPr>
        <w:t xml:space="preserve">  There was an increase in the </w:t>
      </w:r>
      <w:r w:rsidR="00D33EDB">
        <w:rPr>
          <w:rFonts w:asciiTheme="majorHAnsi" w:hAnsiTheme="majorHAnsi" w:cstheme="majorHAnsi"/>
          <w:sz w:val="24"/>
          <w:szCs w:val="24"/>
          <w:lang w:val="en-US"/>
        </w:rPr>
        <w:t xml:space="preserve">Differentiated Special Education Needs </w:t>
      </w:r>
      <w:r w:rsidR="00D33EDB">
        <w:rPr>
          <w:rFonts w:asciiTheme="majorHAnsi" w:hAnsiTheme="majorHAnsi" w:cstheme="majorHAnsi"/>
          <w:sz w:val="24"/>
          <w:szCs w:val="24"/>
          <w:lang w:val="en-US"/>
        </w:rPr>
        <w:lastRenderedPageBreak/>
        <w:t>Amount of $</w:t>
      </w:r>
      <w:r w:rsidR="005453AD">
        <w:rPr>
          <w:rFonts w:asciiTheme="majorHAnsi" w:hAnsiTheme="majorHAnsi" w:cstheme="majorHAnsi"/>
          <w:sz w:val="24"/>
          <w:szCs w:val="24"/>
          <w:lang w:val="en-US"/>
        </w:rPr>
        <w:t>8</w:t>
      </w:r>
      <w:r w:rsidR="00D33EDB">
        <w:rPr>
          <w:rFonts w:asciiTheme="majorHAnsi" w:hAnsiTheme="majorHAnsi" w:cstheme="majorHAnsi"/>
          <w:sz w:val="24"/>
          <w:szCs w:val="24"/>
          <w:lang w:val="en-US"/>
        </w:rPr>
        <w:t xml:space="preserve">0K </w:t>
      </w:r>
      <w:r w:rsidR="00B60641">
        <w:rPr>
          <w:rFonts w:asciiTheme="majorHAnsi" w:hAnsiTheme="majorHAnsi" w:cstheme="majorHAnsi"/>
          <w:sz w:val="24"/>
          <w:szCs w:val="24"/>
          <w:lang w:val="en-US"/>
        </w:rPr>
        <w:t>which is allocated based on the needs of the board</w:t>
      </w:r>
      <w:r w:rsidR="0028594B">
        <w:rPr>
          <w:rFonts w:asciiTheme="majorHAnsi" w:hAnsiTheme="majorHAnsi" w:cstheme="majorHAnsi"/>
          <w:sz w:val="24"/>
          <w:szCs w:val="24"/>
          <w:lang w:val="en-US"/>
        </w:rPr>
        <w:t xml:space="preserve">, as calculated through a statistical prediction model that </w:t>
      </w:r>
      <w:r w:rsidR="009F2263">
        <w:rPr>
          <w:rFonts w:asciiTheme="majorHAnsi" w:hAnsiTheme="majorHAnsi" w:cstheme="majorHAnsi"/>
          <w:sz w:val="24"/>
          <w:szCs w:val="24"/>
          <w:lang w:val="en-US"/>
        </w:rPr>
        <w:t>considers</w:t>
      </w:r>
      <w:r w:rsidR="0028594B">
        <w:rPr>
          <w:rFonts w:asciiTheme="majorHAnsi" w:hAnsiTheme="majorHAnsi" w:cstheme="majorHAnsi"/>
          <w:sz w:val="24"/>
          <w:szCs w:val="24"/>
          <w:lang w:val="en-US"/>
        </w:rPr>
        <w:t xml:space="preserve"> several different factors</w:t>
      </w:r>
      <w:r w:rsidR="00B42A79">
        <w:rPr>
          <w:rFonts w:asciiTheme="majorHAnsi" w:hAnsiTheme="majorHAnsi" w:cstheme="majorHAnsi"/>
          <w:sz w:val="24"/>
          <w:szCs w:val="24"/>
          <w:lang w:val="en-US"/>
        </w:rPr>
        <w:t>,</w:t>
      </w:r>
      <w:r w:rsidR="00B60641">
        <w:rPr>
          <w:rFonts w:asciiTheme="majorHAnsi" w:hAnsiTheme="majorHAnsi" w:cstheme="majorHAnsi"/>
          <w:sz w:val="24"/>
          <w:szCs w:val="24"/>
          <w:lang w:val="en-US"/>
        </w:rPr>
        <w:t xml:space="preserve"> to meet</w:t>
      </w:r>
      <w:r w:rsidR="00F22E23">
        <w:rPr>
          <w:rFonts w:asciiTheme="majorHAnsi" w:hAnsiTheme="majorHAnsi" w:cstheme="majorHAnsi"/>
          <w:sz w:val="24"/>
          <w:szCs w:val="24"/>
          <w:lang w:val="en-US"/>
        </w:rPr>
        <w:t xml:space="preserve"> its special </w:t>
      </w:r>
      <w:r w:rsidR="008F7EE1">
        <w:rPr>
          <w:rFonts w:asciiTheme="majorHAnsi" w:hAnsiTheme="majorHAnsi" w:cstheme="majorHAnsi"/>
          <w:sz w:val="24"/>
          <w:szCs w:val="24"/>
          <w:lang w:val="en-US"/>
        </w:rPr>
        <w:t>education requirements.</w:t>
      </w:r>
      <w:r w:rsidR="007155CF">
        <w:rPr>
          <w:rFonts w:asciiTheme="majorHAnsi" w:hAnsiTheme="majorHAnsi" w:cstheme="majorHAnsi"/>
          <w:sz w:val="24"/>
          <w:szCs w:val="24"/>
          <w:lang w:val="en-US"/>
        </w:rPr>
        <w:t xml:space="preserve">  There is also a new portion to this grant</w:t>
      </w:r>
      <w:r w:rsidR="007144D0">
        <w:rPr>
          <w:rFonts w:asciiTheme="majorHAnsi" w:hAnsiTheme="majorHAnsi" w:cstheme="majorHAnsi"/>
          <w:sz w:val="24"/>
          <w:szCs w:val="24"/>
          <w:lang w:val="en-US"/>
        </w:rPr>
        <w:t>, Local Special Education Priorities (formerly a PPF)</w:t>
      </w:r>
      <w:r w:rsidR="00A772ED">
        <w:rPr>
          <w:rFonts w:asciiTheme="majorHAnsi" w:hAnsiTheme="majorHAnsi" w:cstheme="majorHAnsi"/>
          <w:sz w:val="24"/>
          <w:szCs w:val="24"/>
          <w:lang w:val="en-US"/>
        </w:rPr>
        <w:t xml:space="preserve"> that is $136K.</w:t>
      </w:r>
    </w:p>
    <w:p w14:paraId="40924A27" w14:textId="07483490" w:rsidR="005975D4" w:rsidRPr="00066A9C" w:rsidRDefault="007D7B6A" w:rsidP="00635C08">
      <w:pPr>
        <w:pStyle w:val="NoSpacing"/>
        <w:rPr>
          <w:rFonts w:asciiTheme="majorHAnsi" w:hAnsiTheme="majorHAnsi" w:cstheme="majorHAnsi"/>
          <w:sz w:val="24"/>
          <w:szCs w:val="24"/>
        </w:rPr>
      </w:pPr>
      <w:r w:rsidRPr="00A26CAA">
        <w:rPr>
          <w:rFonts w:asciiTheme="majorHAnsi" w:hAnsiTheme="majorHAnsi" w:cstheme="majorHAnsi"/>
          <w:b/>
          <w:bCs/>
          <w:sz w:val="24"/>
          <w:szCs w:val="24"/>
        </w:rPr>
        <w:t>Note 2</w:t>
      </w:r>
      <w:r>
        <w:rPr>
          <w:rFonts w:asciiTheme="majorHAnsi" w:hAnsiTheme="majorHAnsi" w:cstheme="majorHAnsi"/>
          <w:sz w:val="24"/>
          <w:szCs w:val="24"/>
        </w:rPr>
        <w:t xml:space="preserve"> - </w:t>
      </w:r>
      <w:r w:rsidR="005975D4" w:rsidRPr="00066A9C">
        <w:rPr>
          <w:rFonts w:asciiTheme="majorHAnsi" w:hAnsiTheme="majorHAnsi" w:cstheme="majorHAnsi"/>
          <w:sz w:val="24"/>
          <w:szCs w:val="24"/>
        </w:rPr>
        <w:t xml:space="preserve">The </w:t>
      </w:r>
      <w:r w:rsidR="005975D4" w:rsidRPr="00066A9C">
        <w:rPr>
          <w:rFonts w:asciiTheme="majorHAnsi" w:hAnsiTheme="majorHAnsi" w:cstheme="majorHAnsi"/>
          <w:i/>
          <w:sz w:val="24"/>
          <w:szCs w:val="24"/>
        </w:rPr>
        <w:t>Language Allocation</w:t>
      </w:r>
      <w:r w:rsidR="0009784A">
        <w:rPr>
          <w:rFonts w:asciiTheme="majorHAnsi" w:hAnsiTheme="majorHAnsi" w:cstheme="majorHAnsi"/>
          <w:sz w:val="24"/>
          <w:szCs w:val="24"/>
        </w:rPr>
        <w:t xml:space="preserve"> </w:t>
      </w:r>
      <w:r w:rsidR="00B16190">
        <w:rPr>
          <w:rFonts w:asciiTheme="majorHAnsi" w:hAnsiTheme="majorHAnsi" w:cstheme="majorHAnsi"/>
          <w:sz w:val="24"/>
          <w:szCs w:val="24"/>
        </w:rPr>
        <w:t>in</w:t>
      </w:r>
      <w:r w:rsidR="009F2263">
        <w:rPr>
          <w:rFonts w:asciiTheme="majorHAnsi" w:hAnsiTheme="majorHAnsi" w:cstheme="majorHAnsi"/>
          <w:sz w:val="24"/>
          <w:szCs w:val="24"/>
        </w:rPr>
        <w:t>creased</w:t>
      </w:r>
      <w:r w:rsidR="0030322D">
        <w:rPr>
          <w:rFonts w:asciiTheme="majorHAnsi" w:hAnsiTheme="majorHAnsi" w:cstheme="majorHAnsi"/>
          <w:sz w:val="24"/>
          <w:szCs w:val="24"/>
        </w:rPr>
        <w:t xml:space="preserve"> </w:t>
      </w:r>
      <w:r w:rsidR="006718A6">
        <w:rPr>
          <w:rFonts w:asciiTheme="majorHAnsi" w:hAnsiTheme="majorHAnsi" w:cstheme="majorHAnsi"/>
          <w:sz w:val="24"/>
          <w:szCs w:val="24"/>
        </w:rPr>
        <w:t xml:space="preserve">by </w:t>
      </w:r>
      <w:r w:rsidR="00A15D7B">
        <w:rPr>
          <w:rFonts w:asciiTheme="majorHAnsi" w:hAnsiTheme="majorHAnsi" w:cstheme="majorHAnsi"/>
          <w:sz w:val="24"/>
          <w:szCs w:val="24"/>
        </w:rPr>
        <w:t>around</w:t>
      </w:r>
      <w:r w:rsidR="006718A6">
        <w:rPr>
          <w:rFonts w:asciiTheme="majorHAnsi" w:hAnsiTheme="majorHAnsi" w:cstheme="majorHAnsi"/>
          <w:sz w:val="24"/>
          <w:szCs w:val="24"/>
        </w:rPr>
        <w:t xml:space="preserve"> $</w:t>
      </w:r>
      <w:r w:rsidR="00A15D7B">
        <w:rPr>
          <w:rFonts w:asciiTheme="majorHAnsi" w:hAnsiTheme="majorHAnsi" w:cstheme="majorHAnsi"/>
          <w:sz w:val="24"/>
          <w:szCs w:val="24"/>
        </w:rPr>
        <w:t>150</w:t>
      </w:r>
      <w:r w:rsidR="006718A6">
        <w:rPr>
          <w:rFonts w:asciiTheme="majorHAnsi" w:hAnsiTheme="majorHAnsi" w:cstheme="majorHAnsi"/>
          <w:sz w:val="24"/>
          <w:szCs w:val="24"/>
        </w:rPr>
        <w:t xml:space="preserve">K as </w:t>
      </w:r>
      <w:r w:rsidR="003A3AE6">
        <w:rPr>
          <w:rFonts w:asciiTheme="majorHAnsi" w:hAnsiTheme="majorHAnsi" w:cstheme="majorHAnsi"/>
          <w:sz w:val="24"/>
          <w:szCs w:val="24"/>
        </w:rPr>
        <w:t>a</w:t>
      </w:r>
      <w:r w:rsidR="006718A6">
        <w:rPr>
          <w:rFonts w:asciiTheme="majorHAnsi" w:hAnsiTheme="majorHAnsi" w:cstheme="majorHAnsi"/>
          <w:sz w:val="24"/>
          <w:szCs w:val="24"/>
        </w:rPr>
        <w:t xml:space="preserve"> result of the p</w:t>
      </w:r>
      <w:r w:rsidR="005F6FC1">
        <w:rPr>
          <w:rFonts w:asciiTheme="majorHAnsi" w:hAnsiTheme="majorHAnsi" w:cstheme="majorHAnsi"/>
          <w:sz w:val="24"/>
          <w:szCs w:val="24"/>
        </w:rPr>
        <w:t>rojected increase in</w:t>
      </w:r>
      <w:r w:rsidR="006718A6">
        <w:rPr>
          <w:rFonts w:asciiTheme="majorHAnsi" w:hAnsiTheme="majorHAnsi" w:cstheme="majorHAnsi"/>
          <w:sz w:val="24"/>
          <w:szCs w:val="24"/>
        </w:rPr>
        <w:t xml:space="preserve"> enrolment</w:t>
      </w:r>
      <w:r w:rsidR="005F6FC1">
        <w:rPr>
          <w:rFonts w:asciiTheme="majorHAnsi" w:hAnsiTheme="majorHAnsi" w:cstheme="majorHAnsi"/>
          <w:sz w:val="24"/>
          <w:szCs w:val="24"/>
        </w:rPr>
        <w:t xml:space="preserve"> for grades 4-12</w:t>
      </w:r>
      <w:r w:rsidR="003A3AE6">
        <w:rPr>
          <w:rFonts w:asciiTheme="majorHAnsi" w:hAnsiTheme="majorHAnsi" w:cstheme="majorHAnsi"/>
          <w:sz w:val="24"/>
          <w:szCs w:val="24"/>
        </w:rPr>
        <w:t xml:space="preserve"> and </w:t>
      </w:r>
      <w:r w:rsidR="004D056A">
        <w:rPr>
          <w:rFonts w:asciiTheme="majorHAnsi" w:hAnsiTheme="majorHAnsi" w:cstheme="majorHAnsi"/>
          <w:sz w:val="24"/>
          <w:szCs w:val="24"/>
        </w:rPr>
        <w:t xml:space="preserve">the FSL Areas of </w:t>
      </w:r>
      <w:r w:rsidR="00E4301E">
        <w:rPr>
          <w:rFonts w:asciiTheme="majorHAnsi" w:hAnsiTheme="majorHAnsi" w:cstheme="majorHAnsi"/>
          <w:sz w:val="24"/>
          <w:szCs w:val="24"/>
        </w:rPr>
        <w:t>Intervention</w:t>
      </w:r>
      <w:r w:rsidR="004D056A">
        <w:rPr>
          <w:rFonts w:asciiTheme="majorHAnsi" w:hAnsiTheme="majorHAnsi" w:cstheme="majorHAnsi"/>
          <w:sz w:val="24"/>
          <w:szCs w:val="24"/>
        </w:rPr>
        <w:t xml:space="preserve"> Component being transferred </w:t>
      </w:r>
      <w:r w:rsidR="00E4301E">
        <w:rPr>
          <w:rFonts w:asciiTheme="majorHAnsi" w:hAnsiTheme="majorHAnsi" w:cstheme="majorHAnsi"/>
          <w:sz w:val="24"/>
          <w:szCs w:val="24"/>
        </w:rPr>
        <w:t>to the GSN from a PPF in the amount of $82K</w:t>
      </w:r>
      <w:r w:rsidR="006718A6">
        <w:rPr>
          <w:rFonts w:asciiTheme="majorHAnsi" w:hAnsiTheme="majorHAnsi" w:cstheme="majorHAnsi"/>
          <w:sz w:val="24"/>
          <w:szCs w:val="24"/>
        </w:rPr>
        <w:t>.</w:t>
      </w:r>
    </w:p>
    <w:p w14:paraId="294C0F4F" w14:textId="0AC90948" w:rsidR="002E2FFD" w:rsidRDefault="004C04B9" w:rsidP="00635C08">
      <w:pPr>
        <w:pStyle w:val="NoSpacing"/>
        <w:rPr>
          <w:rFonts w:asciiTheme="majorHAnsi" w:hAnsiTheme="majorHAnsi" w:cstheme="majorHAnsi"/>
          <w:sz w:val="24"/>
          <w:szCs w:val="24"/>
        </w:rPr>
      </w:pPr>
      <w:r w:rsidRPr="00A26CAA">
        <w:rPr>
          <w:rFonts w:asciiTheme="majorHAnsi" w:hAnsiTheme="majorHAnsi" w:cstheme="majorHAnsi"/>
          <w:b/>
          <w:bCs/>
          <w:sz w:val="24"/>
          <w:szCs w:val="24"/>
        </w:rPr>
        <w:t>Note 3</w:t>
      </w:r>
      <w:r>
        <w:rPr>
          <w:rFonts w:asciiTheme="majorHAnsi" w:hAnsiTheme="majorHAnsi" w:cstheme="majorHAnsi"/>
          <w:sz w:val="24"/>
          <w:szCs w:val="24"/>
        </w:rPr>
        <w:t xml:space="preserve"> - </w:t>
      </w:r>
      <w:r w:rsidR="002E2FFD" w:rsidRPr="006B57C9">
        <w:rPr>
          <w:rFonts w:asciiTheme="majorHAnsi" w:hAnsiTheme="majorHAnsi" w:cstheme="majorHAnsi"/>
          <w:sz w:val="24"/>
          <w:szCs w:val="24"/>
        </w:rPr>
        <w:t xml:space="preserve">The </w:t>
      </w:r>
      <w:r w:rsidR="002E2FFD" w:rsidRPr="006B57C9">
        <w:rPr>
          <w:rFonts w:asciiTheme="majorHAnsi" w:hAnsiTheme="majorHAnsi" w:cstheme="majorHAnsi"/>
          <w:i/>
          <w:sz w:val="24"/>
          <w:szCs w:val="24"/>
        </w:rPr>
        <w:t>Experience and Qualification Allocation</w:t>
      </w:r>
      <w:r w:rsidR="002E2FFD" w:rsidRPr="006B57C9">
        <w:rPr>
          <w:rFonts w:asciiTheme="majorHAnsi" w:hAnsiTheme="majorHAnsi" w:cstheme="majorHAnsi"/>
          <w:sz w:val="24"/>
          <w:szCs w:val="24"/>
        </w:rPr>
        <w:t xml:space="preserve"> </w:t>
      </w:r>
      <w:r w:rsidR="00130BC8">
        <w:rPr>
          <w:rFonts w:asciiTheme="majorHAnsi" w:hAnsiTheme="majorHAnsi" w:cstheme="majorHAnsi"/>
          <w:sz w:val="24"/>
          <w:szCs w:val="24"/>
        </w:rPr>
        <w:t>in</w:t>
      </w:r>
      <w:r w:rsidR="002E2FFD" w:rsidRPr="006B57C9">
        <w:rPr>
          <w:rFonts w:asciiTheme="majorHAnsi" w:hAnsiTheme="majorHAnsi" w:cstheme="majorHAnsi"/>
          <w:sz w:val="24"/>
          <w:szCs w:val="24"/>
        </w:rPr>
        <w:t>crease</w:t>
      </w:r>
      <w:r w:rsidR="005975D4" w:rsidRPr="006B57C9">
        <w:rPr>
          <w:rFonts w:asciiTheme="majorHAnsi" w:hAnsiTheme="majorHAnsi" w:cstheme="majorHAnsi"/>
          <w:sz w:val="24"/>
          <w:szCs w:val="24"/>
        </w:rPr>
        <w:t>d significantly</w:t>
      </w:r>
      <w:r w:rsidR="00130BC8">
        <w:rPr>
          <w:rFonts w:asciiTheme="majorHAnsi" w:hAnsiTheme="majorHAnsi" w:cstheme="majorHAnsi"/>
          <w:sz w:val="24"/>
          <w:szCs w:val="24"/>
        </w:rPr>
        <w:t xml:space="preserve"> </w:t>
      </w:r>
      <w:r w:rsidR="005975D4" w:rsidRPr="006B57C9">
        <w:rPr>
          <w:rFonts w:asciiTheme="majorHAnsi" w:hAnsiTheme="majorHAnsi" w:cstheme="majorHAnsi"/>
          <w:sz w:val="24"/>
          <w:szCs w:val="24"/>
        </w:rPr>
        <w:t xml:space="preserve">this year </w:t>
      </w:r>
      <w:r w:rsidR="00923F65">
        <w:rPr>
          <w:rFonts w:asciiTheme="majorHAnsi" w:hAnsiTheme="majorHAnsi" w:cstheme="majorHAnsi"/>
          <w:sz w:val="24"/>
          <w:szCs w:val="24"/>
        </w:rPr>
        <w:t>by $</w:t>
      </w:r>
      <w:r>
        <w:rPr>
          <w:rFonts w:asciiTheme="majorHAnsi" w:hAnsiTheme="majorHAnsi" w:cstheme="majorHAnsi"/>
          <w:sz w:val="24"/>
          <w:szCs w:val="24"/>
        </w:rPr>
        <w:t>807</w:t>
      </w:r>
      <w:r w:rsidR="00923F65">
        <w:rPr>
          <w:rFonts w:asciiTheme="majorHAnsi" w:hAnsiTheme="majorHAnsi" w:cstheme="majorHAnsi"/>
          <w:sz w:val="24"/>
          <w:szCs w:val="24"/>
        </w:rPr>
        <w:t>K</w:t>
      </w:r>
      <w:r w:rsidR="00923F65" w:rsidRPr="006B57C9">
        <w:rPr>
          <w:rFonts w:asciiTheme="majorHAnsi" w:hAnsiTheme="majorHAnsi" w:cstheme="majorHAnsi"/>
          <w:sz w:val="24"/>
          <w:szCs w:val="24"/>
        </w:rPr>
        <w:t xml:space="preserve"> </w:t>
      </w:r>
      <w:r w:rsidR="0096764C" w:rsidRPr="006B57C9">
        <w:rPr>
          <w:rFonts w:asciiTheme="majorHAnsi" w:hAnsiTheme="majorHAnsi" w:cstheme="majorHAnsi"/>
          <w:sz w:val="24"/>
          <w:szCs w:val="24"/>
        </w:rPr>
        <w:t xml:space="preserve">due to the </w:t>
      </w:r>
      <w:r w:rsidR="00DB1C50">
        <w:rPr>
          <w:rFonts w:asciiTheme="majorHAnsi" w:hAnsiTheme="majorHAnsi" w:cstheme="majorHAnsi"/>
          <w:sz w:val="24"/>
          <w:szCs w:val="24"/>
        </w:rPr>
        <w:t>i</w:t>
      </w:r>
      <w:r w:rsidR="00AA3487">
        <w:rPr>
          <w:rFonts w:asciiTheme="majorHAnsi" w:hAnsiTheme="majorHAnsi" w:cstheme="majorHAnsi"/>
          <w:sz w:val="24"/>
          <w:szCs w:val="24"/>
        </w:rPr>
        <w:t xml:space="preserve">ncrease </w:t>
      </w:r>
      <w:r w:rsidR="00341AB3">
        <w:rPr>
          <w:rFonts w:asciiTheme="majorHAnsi" w:hAnsiTheme="majorHAnsi" w:cstheme="majorHAnsi"/>
          <w:sz w:val="24"/>
          <w:szCs w:val="24"/>
        </w:rPr>
        <w:t>in the average</w:t>
      </w:r>
      <w:r w:rsidR="00AA3487">
        <w:rPr>
          <w:rFonts w:asciiTheme="majorHAnsi" w:hAnsiTheme="majorHAnsi" w:cstheme="majorHAnsi"/>
          <w:sz w:val="24"/>
          <w:szCs w:val="24"/>
        </w:rPr>
        <w:t xml:space="preserve"> experience factor</w:t>
      </w:r>
      <w:r w:rsidR="00FA06D2">
        <w:rPr>
          <w:rFonts w:asciiTheme="majorHAnsi" w:hAnsiTheme="majorHAnsi" w:cstheme="majorHAnsi"/>
          <w:sz w:val="24"/>
          <w:szCs w:val="24"/>
        </w:rPr>
        <w:t xml:space="preserve"> </w:t>
      </w:r>
      <w:r w:rsidR="00341AB3">
        <w:rPr>
          <w:rFonts w:asciiTheme="majorHAnsi" w:hAnsiTheme="majorHAnsi" w:cstheme="majorHAnsi"/>
          <w:sz w:val="24"/>
          <w:szCs w:val="24"/>
        </w:rPr>
        <w:t>and an increase in the pupil benchmark.</w:t>
      </w:r>
    </w:p>
    <w:p w14:paraId="244B3445" w14:textId="74F6BEC3" w:rsidR="00F31B65" w:rsidRPr="00066A9C" w:rsidRDefault="00F31B65" w:rsidP="00F31B65">
      <w:pPr>
        <w:pStyle w:val="NoSpacing"/>
        <w:rPr>
          <w:rFonts w:asciiTheme="majorHAnsi" w:hAnsiTheme="majorHAnsi" w:cstheme="majorHAnsi"/>
          <w:sz w:val="24"/>
          <w:szCs w:val="24"/>
          <w:lang w:val="en-US"/>
        </w:rPr>
      </w:pPr>
      <w:r w:rsidRPr="00A26CAA">
        <w:rPr>
          <w:rFonts w:asciiTheme="majorHAnsi" w:hAnsiTheme="majorHAnsi" w:cstheme="majorHAnsi"/>
          <w:b/>
          <w:bCs/>
          <w:sz w:val="24"/>
          <w:szCs w:val="24"/>
        </w:rPr>
        <w:t xml:space="preserve">Note </w:t>
      </w:r>
      <w:r w:rsidR="00590BE9" w:rsidRPr="00A26CAA">
        <w:rPr>
          <w:rFonts w:asciiTheme="majorHAnsi" w:hAnsiTheme="majorHAnsi" w:cstheme="majorHAnsi"/>
          <w:b/>
          <w:bCs/>
          <w:sz w:val="24"/>
          <w:szCs w:val="24"/>
        </w:rPr>
        <w:t>4</w:t>
      </w:r>
      <w:r>
        <w:rPr>
          <w:rFonts w:asciiTheme="majorHAnsi" w:hAnsiTheme="majorHAnsi" w:cstheme="majorHAnsi"/>
          <w:sz w:val="24"/>
          <w:szCs w:val="24"/>
        </w:rPr>
        <w:t xml:space="preserve"> - </w:t>
      </w:r>
      <w:r w:rsidRPr="006B57C9">
        <w:rPr>
          <w:rFonts w:asciiTheme="majorHAnsi" w:hAnsiTheme="majorHAnsi" w:cstheme="majorHAnsi"/>
          <w:sz w:val="24"/>
          <w:szCs w:val="24"/>
        </w:rPr>
        <w:t xml:space="preserve">The </w:t>
      </w:r>
      <w:r w:rsidR="00590BE9">
        <w:rPr>
          <w:rFonts w:asciiTheme="majorHAnsi" w:hAnsiTheme="majorHAnsi" w:cstheme="majorHAnsi"/>
          <w:i/>
          <w:sz w:val="24"/>
          <w:szCs w:val="24"/>
        </w:rPr>
        <w:t>School Operations</w:t>
      </w:r>
      <w:r w:rsidRPr="006B57C9">
        <w:rPr>
          <w:rFonts w:asciiTheme="majorHAnsi" w:hAnsiTheme="majorHAnsi" w:cstheme="majorHAnsi"/>
          <w:i/>
          <w:sz w:val="24"/>
          <w:szCs w:val="24"/>
        </w:rPr>
        <w:t xml:space="preserve"> Allocation</w:t>
      </w:r>
      <w:r w:rsidRPr="006B57C9">
        <w:rPr>
          <w:rFonts w:asciiTheme="majorHAnsi" w:hAnsiTheme="majorHAnsi" w:cstheme="majorHAnsi"/>
          <w:sz w:val="24"/>
          <w:szCs w:val="24"/>
        </w:rPr>
        <w:t xml:space="preserve"> </w:t>
      </w:r>
      <w:r>
        <w:rPr>
          <w:rFonts w:asciiTheme="majorHAnsi" w:hAnsiTheme="majorHAnsi" w:cstheme="majorHAnsi"/>
          <w:sz w:val="24"/>
          <w:szCs w:val="24"/>
        </w:rPr>
        <w:t>in</w:t>
      </w:r>
      <w:r w:rsidRPr="006B57C9">
        <w:rPr>
          <w:rFonts w:asciiTheme="majorHAnsi" w:hAnsiTheme="majorHAnsi" w:cstheme="majorHAnsi"/>
          <w:sz w:val="24"/>
          <w:szCs w:val="24"/>
        </w:rPr>
        <w:t>crease</w:t>
      </w:r>
      <w:r w:rsidR="004B2B94">
        <w:rPr>
          <w:rFonts w:asciiTheme="majorHAnsi" w:hAnsiTheme="majorHAnsi" w:cstheme="majorHAnsi"/>
          <w:sz w:val="24"/>
          <w:szCs w:val="24"/>
        </w:rPr>
        <w:t>d</w:t>
      </w:r>
      <w:r w:rsidR="0084429A">
        <w:rPr>
          <w:rFonts w:asciiTheme="majorHAnsi" w:hAnsiTheme="majorHAnsi" w:cstheme="majorHAnsi"/>
          <w:sz w:val="24"/>
          <w:szCs w:val="24"/>
        </w:rPr>
        <w:t xml:space="preserve"> based on increased benchmark amount.</w:t>
      </w:r>
      <w:r w:rsidRPr="006B57C9">
        <w:rPr>
          <w:rFonts w:asciiTheme="majorHAnsi" w:hAnsiTheme="majorHAnsi" w:cstheme="majorHAnsi"/>
          <w:sz w:val="24"/>
          <w:szCs w:val="24"/>
        </w:rPr>
        <w:t xml:space="preserve"> </w:t>
      </w:r>
    </w:p>
    <w:p w14:paraId="09E494DF" w14:textId="289E663B" w:rsidR="00265AED" w:rsidRDefault="00986099" w:rsidP="00635C08">
      <w:pPr>
        <w:pStyle w:val="NoSpacing"/>
        <w:rPr>
          <w:rFonts w:asciiTheme="majorHAnsi" w:hAnsiTheme="majorHAnsi" w:cstheme="majorHAnsi"/>
          <w:sz w:val="24"/>
          <w:szCs w:val="24"/>
          <w:lang w:val="en-US"/>
        </w:rPr>
      </w:pPr>
      <w:r w:rsidRPr="00A26CAA">
        <w:rPr>
          <w:rFonts w:asciiTheme="majorHAnsi" w:hAnsiTheme="majorHAnsi" w:cstheme="majorHAnsi"/>
          <w:b/>
          <w:bCs/>
          <w:sz w:val="24"/>
          <w:szCs w:val="24"/>
          <w:lang w:val="en-US"/>
        </w:rPr>
        <w:t>Note 5</w:t>
      </w:r>
      <w:r>
        <w:rPr>
          <w:rFonts w:asciiTheme="majorHAnsi" w:hAnsiTheme="majorHAnsi" w:cstheme="majorHAnsi"/>
          <w:sz w:val="24"/>
          <w:szCs w:val="24"/>
          <w:lang w:val="en-US"/>
        </w:rPr>
        <w:t xml:space="preserve"> - </w:t>
      </w:r>
      <w:r w:rsidR="00827A6F" w:rsidRPr="00066A9C">
        <w:rPr>
          <w:rFonts w:asciiTheme="majorHAnsi" w:hAnsiTheme="majorHAnsi" w:cstheme="majorHAnsi"/>
          <w:sz w:val="24"/>
          <w:szCs w:val="24"/>
          <w:lang w:val="en-US"/>
        </w:rPr>
        <w:t xml:space="preserve">The </w:t>
      </w:r>
      <w:r w:rsidR="00827A6F" w:rsidRPr="00066A9C">
        <w:rPr>
          <w:rFonts w:asciiTheme="majorHAnsi" w:hAnsiTheme="majorHAnsi" w:cstheme="majorHAnsi"/>
          <w:i/>
          <w:sz w:val="24"/>
          <w:szCs w:val="24"/>
          <w:lang w:val="en-US"/>
        </w:rPr>
        <w:t>Declining Enrolment Adjustment</w:t>
      </w:r>
      <w:r w:rsidR="00827A6F" w:rsidRPr="00066A9C">
        <w:rPr>
          <w:rFonts w:asciiTheme="majorHAnsi" w:hAnsiTheme="majorHAnsi" w:cstheme="majorHAnsi"/>
          <w:sz w:val="24"/>
          <w:szCs w:val="24"/>
          <w:lang w:val="en-US"/>
        </w:rPr>
        <w:t xml:space="preserve"> recognizes that it takes time for boards to react and adjust their cost structures accordingly because board costs do not all decline in a way that is strictly proportional to the declining enrolment that they are experiencing.  </w:t>
      </w:r>
      <w:r w:rsidR="00895E05">
        <w:rPr>
          <w:rFonts w:asciiTheme="majorHAnsi" w:hAnsiTheme="majorHAnsi" w:cstheme="majorHAnsi"/>
          <w:sz w:val="24"/>
          <w:szCs w:val="24"/>
          <w:lang w:val="en-US"/>
        </w:rPr>
        <w:t xml:space="preserve">As our projections for enrolment are </w:t>
      </w:r>
      <w:r w:rsidR="00B20E2D">
        <w:rPr>
          <w:rFonts w:asciiTheme="majorHAnsi" w:hAnsiTheme="majorHAnsi" w:cstheme="majorHAnsi"/>
          <w:sz w:val="24"/>
          <w:szCs w:val="24"/>
          <w:lang w:val="en-US"/>
        </w:rPr>
        <w:t>declinin</w:t>
      </w:r>
      <w:r w:rsidR="00680863">
        <w:rPr>
          <w:rFonts w:asciiTheme="majorHAnsi" w:hAnsiTheme="majorHAnsi" w:cstheme="majorHAnsi"/>
          <w:sz w:val="24"/>
          <w:szCs w:val="24"/>
          <w:lang w:val="en-US"/>
        </w:rPr>
        <w:t xml:space="preserve">g and </w:t>
      </w:r>
      <w:r w:rsidR="002774FA">
        <w:rPr>
          <w:rFonts w:asciiTheme="majorHAnsi" w:hAnsiTheme="majorHAnsi" w:cstheme="majorHAnsi"/>
          <w:sz w:val="24"/>
          <w:szCs w:val="24"/>
          <w:lang w:val="en-US"/>
        </w:rPr>
        <w:t>therefore,</w:t>
      </w:r>
      <w:r w:rsidR="00FE28EE">
        <w:rPr>
          <w:rFonts w:asciiTheme="majorHAnsi" w:hAnsiTheme="majorHAnsi" w:cstheme="majorHAnsi"/>
          <w:sz w:val="24"/>
          <w:szCs w:val="24"/>
          <w:lang w:val="en-US"/>
        </w:rPr>
        <w:t xml:space="preserve"> we meet the criteria in </w:t>
      </w:r>
      <w:r w:rsidR="003B50FF">
        <w:rPr>
          <w:rFonts w:asciiTheme="majorHAnsi" w:hAnsiTheme="majorHAnsi" w:cstheme="majorHAnsi"/>
          <w:sz w:val="24"/>
          <w:szCs w:val="24"/>
          <w:lang w:val="en-US"/>
        </w:rPr>
        <w:t>2021-22</w:t>
      </w:r>
      <w:r w:rsidR="00FE28EE">
        <w:rPr>
          <w:rFonts w:asciiTheme="majorHAnsi" w:hAnsiTheme="majorHAnsi" w:cstheme="majorHAnsi"/>
          <w:sz w:val="24"/>
          <w:szCs w:val="24"/>
          <w:lang w:val="en-US"/>
        </w:rPr>
        <w:t xml:space="preserve"> and</w:t>
      </w:r>
      <w:r w:rsidR="00B357EC">
        <w:rPr>
          <w:rFonts w:asciiTheme="majorHAnsi" w:hAnsiTheme="majorHAnsi" w:cstheme="majorHAnsi"/>
          <w:sz w:val="24"/>
          <w:szCs w:val="24"/>
          <w:lang w:val="en-US"/>
        </w:rPr>
        <w:t xml:space="preserve"> will receive </w:t>
      </w:r>
      <w:r w:rsidR="00BB2C85">
        <w:rPr>
          <w:rFonts w:asciiTheme="majorHAnsi" w:hAnsiTheme="majorHAnsi" w:cstheme="majorHAnsi"/>
          <w:sz w:val="24"/>
          <w:szCs w:val="24"/>
          <w:lang w:val="en-US"/>
        </w:rPr>
        <w:t>approximately $</w:t>
      </w:r>
      <w:r w:rsidR="00EC6D35">
        <w:rPr>
          <w:rFonts w:asciiTheme="majorHAnsi" w:hAnsiTheme="majorHAnsi" w:cstheme="majorHAnsi"/>
          <w:sz w:val="24"/>
          <w:szCs w:val="24"/>
          <w:lang w:val="en-US"/>
        </w:rPr>
        <w:t>136</w:t>
      </w:r>
      <w:r w:rsidR="00BB2C85">
        <w:rPr>
          <w:rFonts w:asciiTheme="majorHAnsi" w:hAnsiTheme="majorHAnsi" w:cstheme="majorHAnsi"/>
          <w:sz w:val="24"/>
          <w:szCs w:val="24"/>
          <w:lang w:val="en-US"/>
        </w:rPr>
        <w:t xml:space="preserve">K in </w:t>
      </w:r>
      <w:r w:rsidR="00B357EC">
        <w:rPr>
          <w:rFonts w:asciiTheme="majorHAnsi" w:hAnsiTheme="majorHAnsi" w:cstheme="majorHAnsi"/>
          <w:sz w:val="24"/>
          <w:szCs w:val="24"/>
          <w:lang w:val="en-US"/>
        </w:rPr>
        <w:t>grant</w:t>
      </w:r>
      <w:r w:rsidR="00BB2C85">
        <w:rPr>
          <w:rFonts w:asciiTheme="majorHAnsi" w:hAnsiTheme="majorHAnsi" w:cstheme="majorHAnsi"/>
          <w:sz w:val="24"/>
          <w:szCs w:val="24"/>
          <w:lang w:val="en-US"/>
        </w:rPr>
        <w:t xml:space="preserve"> funding</w:t>
      </w:r>
      <w:r w:rsidR="009C4D63">
        <w:rPr>
          <w:rFonts w:asciiTheme="majorHAnsi" w:hAnsiTheme="majorHAnsi" w:cstheme="majorHAnsi"/>
          <w:sz w:val="24"/>
          <w:szCs w:val="24"/>
          <w:lang w:val="en-US"/>
        </w:rPr>
        <w:t xml:space="preserve">, which is the estimated change </w:t>
      </w:r>
      <w:r>
        <w:rPr>
          <w:rFonts w:asciiTheme="majorHAnsi" w:hAnsiTheme="majorHAnsi" w:cstheme="majorHAnsi"/>
          <w:sz w:val="24"/>
          <w:szCs w:val="24"/>
          <w:lang w:val="en-US"/>
        </w:rPr>
        <w:t>in eligible grants</w:t>
      </w:r>
      <w:r w:rsidR="00B357EC">
        <w:rPr>
          <w:rFonts w:asciiTheme="majorHAnsi" w:hAnsiTheme="majorHAnsi" w:cstheme="majorHAnsi"/>
          <w:sz w:val="24"/>
          <w:szCs w:val="24"/>
          <w:lang w:val="en-US"/>
        </w:rPr>
        <w:t>.</w:t>
      </w:r>
    </w:p>
    <w:p w14:paraId="53E8C206" w14:textId="336F846F" w:rsidR="00512049" w:rsidRDefault="00064381" w:rsidP="00635C08">
      <w:pPr>
        <w:pStyle w:val="NoSpacing"/>
        <w:rPr>
          <w:rFonts w:asciiTheme="majorHAnsi" w:hAnsiTheme="majorHAnsi" w:cstheme="majorHAnsi"/>
          <w:sz w:val="24"/>
          <w:szCs w:val="24"/>
          <w:lang w:val="en-US"/>
        </w:rPr>
      </w:pPr>
      <w:r>
        <w:rPr>
          <w:rFonts w:asciiTheme="majorHAnsi" w:hAnsiTheme="majorHAnsi" w:cstheme="majorHAnsi"/>
          <w:sz w:val="24"/>
          <w:szCs w:val="24"/>
          <w:lang w:val="en-US"/>
        </w:rPr>
        <w:t xml:space="preserve">Note 6 - </w:t>
      </w:r>
      <w:r w:rsidR="00512049">
        <w:rPr>
          <w:rFonts w:asciiTheme="majorHAnsi" w:hAnsiTheme="majorHAnsi" w:cstheme="majorHAnsi"/>
          <w:sz w:val="24"/>
          <w:szCs w:val="24"/>
          <w:lang w:val="en-US"/>
        </w:rPr>
        <w:t xml:space="preserve">The </w:t>
      </w:r>
      <w:r w:rsidR="003E72FD" w:rsidRPr="00452A2D">
        <w:rPr>
          <w:rFonts w:asciiTheme="majorHAnsi" w:hAnsiTheme="majorHAnsi" w:cstheme="majorHAnsi"/>
          <w:i/>
          <w:iCs/>
          <w:sz w:val="24"/>
          <w:szCs w:val="24"/>
          <w:lang w:val="en-US"/>
        </w:rPr>
        <w:t>Mental Health and Well-Being Allocation</w:t>
      </w:r>
      <w:r w:rsidR="00A71016">
        <w:rPr>
          <w:rFonts w:asciiTheme="majorHAnsi" w:hAnsiTheme="majorHAnsi" w:cstheme="majorHAnsi"/>
          <w:sz w:val="24"/>
          <w:szCs w:val="24"/>
          <w:lang w:val="en-US"/>
        </w:rPr>
        <w:t xml:space="preserve"> has increased by $</w:t>
      </w:r>
      <w:r w:rsidR="00D7215C">
        <w:rPr>
          <w:rFonts w:asciiTheme="majorHAnsi" w:hAnsiTheme="majorHAnsi" w:cstheme="majorHAnsi"/>
          <w:sz w:val="24"/>
          <w:szCs w:val="24"/>
          <w:lang w:val="en-US"/>
        </w:rPr>
        <w:t>300</w:t>
      </w:r>
      <w:r w:rsidR="00A71016">
        <w:rPr>
          <w:rFonts w:asciiTheme="majorHAnsi" w:hAnsiTheme="majorHAnsi" w:cstheme="majorHAnsi"/>
          <w:sz w:val="24"/>
          <w:szCs w:val="24"/>
          <w:lang w:val="en-US"/>
        </w:rPr>
        <w:t xml:space="preserve">K </w:t>
      </w:r>
      <w:r w:rsidR="003578B0">
        <w:rPr>
          <w:rFonts w:asciiTheme="majorHAnsi" w:hAnsiTheme="majorHAnsi" w:cstheme="majorHAnsi"/>
          <w:sz w:val="24"/>
          <w:szCs w:val="24"/>
          <w:lang w:val="en-US"/>
        </w:rPr>
        <w:t>which represents</w:t>
      </w:r>
      <w:r w:rsidR="001C617A">
        <w:rPr>
          <w:rFonts w:asciiTheme="majorHAnsi" w:hAnsiTheme="majorHAnsi" w:cstheme="majorHAnsi"/>
          <w:sz w:val="24"/>
          <w:szCs w:val="24"/>
          <w:lang w:val="en-US"/>
        </w:rPr>
        <w:t xml:space="preserve"> </w:t>
      </w:r>
      <w:r w:rsidR="00D7215C">
        <w:rPr>
          <w:rFonts w:asciiTheme="majorHAnsi" w:hAnsiTheme="majorHAnsi" w:cstheme="majorHAnsi"/>
          <w:sz w:val="24"/>
          <w:szCs w:val="24"/>
          <w:lang w:val="en-US"/>
        </w:rPr>
        <w:t>$200K in funding transferred from a PPF to the GSN</w:t>
      </w:r>
      <w:r w:rsidR="00587FF0">
        <w:rPr>
          <w:rFonts w:asciiTheme="majorHAnsi" w:hAnsiTheme="majorHAnsi" w:cstheme="majorHAnsi"/>
          <w:sz w:val="24"/>
          <w:szCs w:val="24"/>
          <w:lang w:val="en-US"/>
        </w:rPr>
        <w:t xml:space="preserve"> and smaller increases in 2 other sections of the grant </w:t>
      </w:r>
      <w:r w:rsidR="001C617A">
        <w:rPr>
          <w:rFonts w:asciiTheme="majorHAnsi" w:hAnsiTheme="majorHAnsi" w:cstheme="majorHAnsi"/>
          <w:sz w:val="24"/>
          <w:szCs w:val="24"/>
          <w:lang w:val="en-US"/>
        </w:rPr>
        <w:t>to support student mental health to foster the continued learning and well-being of students</w:t>
      </w:r>
      <w:r w:rsidR="00AC4618">
        <w:rPr>
          <w:rFonts w:asciiTheme="majorHAnsi" w:hAnsiTheme="majorHAnsi" w:cstheme="majorHAnsi"/>
          <w:sz w:val="24"/>
          <w:szCs w:val="24"/>
          <w:lang w:val="en-US"/>
        </w:rPr>
        <w:t>.</w:t>
      </w:r>
    </w:p>
    <w:p w14:paraId="103A3AF1" w14:textId="21C373A2" w:rsidR="005D067E" w:rsidRPr="00A26CAA" w:rsidRDefault="00E6508B" w:rsidP="00FD784A">
      <w:pPr>
        <w:pStyle w:val="NoSpacing"/>
        <w:rPr>
          <w:rFonts w:asciiTheme="majorHAnsi" w:hAnsiTheme="majorHAnsi" w:cstheme="majorHAnsi"/>
          <w:sz w:val="24"/>
          <w:szCs w:val="24"/>
          <w:lang w:val="en-US"/>
        </w:rPr>
      </w:pPr>
      <w:r w:rsidRPr="00A26CAA">
        <w:rPr>
          <w:rFonts w:asciiTheme="majorHAnsi" w:hAnsiTheme="majorHAnsi" w:cstheme="majorHAnsi"/>
          <w:b/>
          <w:bCs/>
          <w:sz w:val="24"/>
          <w:szCs w:val="24"/>
          <w:lang w:val="en-US"/>
        </w:rPr>
        <w:t>Note 7</w:t>
      </w:r>
      <w:r>
        <w:rPr>
          <w:rFonts w:asciiTheme="majorHAnsi" w:hAnsiTheme="majorHAnsi" w:cstheme="majorHAnsi"/>
          <w:sz w:val="24"/>
          <w:szCs w:val="24"/>
          <w:lang w:val="en-US"/>
        </w:rPr>
        <w:t xml:space="preserve"> - </w:t>
      </w:r>
      <w:r w:rsidR="002A3C47" w:rsidRPr="004B2B94">
        <w:rPr>
          <w:rFonts w:asciiTheme="majorHAnsi" w:hAnsiTheme="majorHAnsi" w:cstheme="majorHAnsi"/>
          <w:sz w:val="24"/>
          <w:szCs w:val="24"/>
          <w:lang w:val="en-US"/>
        </w:rPr>
        <w:t xml:space="preserve">The </w:t>
      </w:r>
      <w:r w:rsidRPr="004B2B94">
        <w:rPr>
          <w:rFonts w:asciiTheme="majorHAnsi" w:hAnsiTheme="majorHAnsi" w:cstheme="majorHAnsi"/>
          <w:i/>
          <w:iCs/>
          <w:sz w:val="24"/>
          <w:szCs w:val="24"/>
          <w:lang w:val="en-US"/>
        </w:rPr>
        <w:t>COVID-19</w:t>
      </w:r>
      <w:r w:rsidR="00B846B2" w:rsidRPr="004B2B94">
        <w:rPr>
          <w:rFonts w:asciiTheme="majorHAnsi" w:hAnsiTheme="majorHAnsi" w:cstheme="majorHAnsi"/>
          <w:i/>
          <w:iCs/>
          <w:sz w:val="24"/>
          <w:szCs w:val="24"/>
          <w:lang w:val="en-US"/>
        </w:rPr>
        <w:t xml:space="preserve"> Learning Recovery Fund</w:t>
      </w:r>
      <w:r w:rsidR="002A3C47" w:rsidRPr="004B2B94">
        <w:rPr>
          <w:rFonts w:asciiTheme="majorHAnsi" w:hAnsiTheme="majorHAnsi" w:cstheme="majorHAnsi"/>
          <w:sz w:val="24"/>
          <w:szCs w:val="24"/>
          <w:lang w:val="en-US"/>
        </w:rPr>
        <w:t xml:space="preserve"> </w:t>
      </w:r>
      <w:r w:rsidR="00B846B2" w:rsidRPr="004B2B94">
        <w:rPr>
          <w:rFonts w:asciiTheme="majorHAnsi" w:hAnsiTheme="majorHAnsi" w:cstheme="majorHAnsi"/>
          <w:sz w:val="24"/>
          <w:szCs w:val="24"/>
          <w:lang w:val="en-US"/>
        </w:rPr>
        <w:t xml:space="preserve">which </w:t>
      </w:r>
      <w:r w:rsidR="00BE0D45" w:rsidRPr="004B2B94">
        <w:rPr>
          <w:rFonts w:asciiTheme="majorHAnsi" w:hAnsiTheme="majorHAnsi" w:cstheme="majorHAnsi"/>
          <w:sz w:val="24"/>
          <w:szCs w:val="24"/>
          <w:lang w:val="en-US"/>
        </w:rPr>
        <w:t>is t</w:t>
      </w:r>
      <w:r w:rsidR="00FD784A" w:rsidRPr="004B2B94">
        <w:rPr>
          <w:rFonts w:asciiTheme="majorHAnsi" w:hAnsiTheme="majorHAnsi" w:cstheme="majorHAnsi"/>
          <w:sz w:val="24"/>
          <w:szCs w:val="24"/>
          <w:lang w:val="en-US"/>
        </w:rPr>
        <w:t>emporary funding</w:t>
      </w:r>
      <w:r w:rsidR="005F25B4" w:rsidRPr="00A26CAA">
        <w:rPr>
          <w:rFonts w:asciiTheme="majorHAnsi" w:hAnsiTheme="majorHAnsi" w:cstheme="majorHAnsi"/>
          <w:sz w:val="24"/>
          <w:szCs w:val="24"/>
          <w:lang w:val="en-US"/>
        </w:rPr>
        <w:t xml:space="preserve">, previously provide through a PPF, </w:t>
      </w:r>
      <w:r w:rsidR="00097A7B" w:rsidRPr="00A26CAA">
        <w:rPr>
          <w:rFonts w:asciiTheme="majorHAnsi" w:hAnsiTheme="majorHAnsi" w:cstheme="majorHAnsi"/>
          <w:sz w:val="24"/>
          <w:szCs w:val="24"/>
          <w:lang w:val="en-US"/>
        </w:rPr>
        <w:t>is set out</w:t>
      </w:r>
      <w:r w:rsidR="008970A1" w:rsidRPr="00A26CAA">
        <w:rPr>
          <w:rFonts w:asciiTheme="majorHAnsi" w:hAnsiTheme="majorHAnsi" w:cstheme="majorHAnsi"/>
          <w:sz w:val="24"/>
          <w:szCs w:val="24"/>
          <w:lang w:val="en-US"/>
        </w:rPr>
        <w:t xml:space="preserve"> in the GSN regulation and expires at the end of August 2023.</w:t>
      </w:r>
      <w:r w:rsidR="00DB784F" w:rsidRPr="00A26CAA">
        <w:rPr>
          <w:rFonts w:asciiTheme="majorHAnsi" w:hAnsiTheme="majorHAnsi" w:cstheme="majorHAnsi"/>
          <w:sz w:val="24"/>
          <w:szCs w:val="24"/>
          <w:lang w:val="en-US"/>
        </w:rPr>
        <w:t xml:space="preserve">  Its purpose is to allow school boards to continue to hire teachers, ECE</w:t>
      </w:r>
      <w:r w:rsidR="00012370" w:rsidRPr="00A26CAA">
        <w:rPr>
          <w:rFonts w:asciiTheme="majorHAnsi" w:hAnsiTheme="majorHAnsi" w:cstheme="majorHAnsi"/>
          <w:sz w:val="24"/>
          <w:szCs w:val="24"/>
          <w:lang w:val="en-US"/>
        </w:rPr>
        <w:t>s, EAs and other educational workers to address the following priorities</w:t>
      </w:r>
      <w:r w:rsidR="005D067E" w:rsidRPr="00A26CAA">
        <w:rPr>
          <w:rFonts w:asciiTheme="majorHAnsi" w:hAnsiTheme="majorHAnsi" w:cstheme="majorHAnsi"/>
          <w:sz w:val="24"/>
          <w:szCs w:val="24"/>
          <w:lang w:val="en-US"/>
        </w:rPr>
        <w:t>:</w:t>
      </w:r>
    </w:p>
    <w:p w14:paraId="74C5FC27" w14:textId="6D1FB433" w:rsidR="005D067E" w:rsidRPr="00A26CAA" w:rsidRDefault="005D067E" w:rsidP="005D067E">
      <w:pPr>
        <w:pStyle w:val="ListParagraph"/>
        <w:numPr>
          <w:ilvl w:val="0"/>
          <w:numId w:val="43"/>
        </w:numPr>
        <w:rPr>
          <w:rFonts w:asciiTheme="majorHAnsi" w:hAnsiTheme="majorHAnsi" w:cstheme="majorHAnsi"/>
          <w:sz w:val="24"/>
          <w:szCs w:val="24"/>
          <w:lang w:val="en-US"/>
        </w:rPr>
      </w:pPr>
      <w:r w:rsidRPr="00A26CAA">
        <w:rPr>
          <w:rFonts w:asciiTheme="majorHAnsi" w:hAnsiTheme="majorHAnsi" w:cstheme="majorHAnsi"/>
          <w:sz w:val="24"/>
          <w:szCs w:val="24"/>
          <w:lang w:val="en-US"/>
        </w:rPr>
        <w:t>Learning recovery</w:t>
      </w:r>
    </w:p>
    <w:p w14:paraId="7450FCE3" w14:textId="1C954E99" w:rsidR="005D067E" w:rsidRPr="00884EFB" w:rsidRDefault="005D067E" w:rsidP="005D067E">
      <w:pPr>
        <w:pStyle w:val="ListParagraph"/>
        <w:numPr>
          <w:ilvl w:val="0"/>
          <w:numId w:val="43"/>
        </w:numPr>
        <w:rPr>
          <w:rFonts w:asciiTheme="majorHAnsi" w:hAnsiTheme="majorHAnsi" w:cstheme="majorHAnsi"/>
          <w:sz w:val="24"/>
          <w:szCs w:val="24"/>
          <w:lang w:val="en-US"/>
        </w:rPr>
      </w:pPr>
      <w:r w:rsidRPr="00884EFB">
        <w:rPr>
          <w:rFonts w:asciiTheme="majorHAnsi" w:hAnsiTheme="majorHAnsi" w:cstheme="majorHAnsi"/>
          <w:sz w:val="24"/>
          <w:szCs w:val="24"/>
          <w:lang w:val="en-US"/>
        </w:rPr>
        <w:t>The implementation of the first year of a fully de</w:t>
      </w:r>
      <w:r w:rsidR="007D0CE2" w:rsidRPr="00884EFB">
        <w:rPr>
          <w:rFonts w:asciiTheme="majorHAnsi" w:hAnsiTheme="majorHAnsi" w:cstheme="majorHAnsi"/>
          <w:sz w:val="24"/>
          <w:szCs w:val="24"/>
          <w:lang w:val="en-US"/>
        </w:rPr>
        <w:t>-</w:t>
      </w:r>
      <w:r w:rsidRPr="00884EFB">
        <w:rPr>
          <w:rFonts w:asciiTheme="majorHAnsi" w:hAnsiTheme="majorHAnsi" w:cstheme="majorHAnsi"/>
          <w:sz w:val="24"/>
          <w:szCs w:val="24"/>
          <w:lang w:val="en-US"/>
        </w:rPr>
        <w:t>streamed</w:t>
      </w:r>
      <w:r w:rsidR="007D0CE2" w:rsidRPr="00884EFB">
        <w:rPr>
          <w:rFonts w:asciiTheme="majorHAnsi" w:hAnsiTheme="majorHAnsi" w:cstheme="majorHAnsi"/>
          <w:sz w:val="24"/>
          <w:szCs w:val="24"/>
          <w:lang w:val="en-US"/>
        </w:rPr>
        <w:t xml:space="preserve"> Grade 9</w:t>
      </w:r>
    </w:p>
    <w:p w14:paraId="26F4F4ED" w14:textId="06B546D5" w:rsidR="007D0CE2" w:rsidRPr="00884EFB" w:rsidRDefault="007D0CE2" w:rsidP="005D067E">
      <w:pPr>
        <w:pStyle w:val="ListParagraph"/>
        <w:numPr>
          <w:ilvl w:val="0"/>
          <w:numId w:val="43"/>
        </w:numPr>
        <w:rPr>
          <w:rFonts w:asciiTheme="majorHAnsi" w:hAnsiTheme="majorHAnsi" w:cstheme="majorHAnsi"/>
          <w:sz w:val="24"/>
          <w:szCs w:val="24"/>
          <w:lang w:val="en-US"/>
        </w:rPr>
      </w:pPr>
      <w:r w:rsidRPr="00884EFB">
        <w:rPr>
          <w:rFonts w:asciiTheme="majorHAnsi" w:hAnsiTheme="majorHAnsi" w:cstheme="majorHAnsi"/>
          <w:sz w:val="24"/>
          <w:szCs w:val="24"/>
          <w:lang w:val="en-US"/>
        </w:rPr>
        <w:t>The delivery of remote learning</w:t>
      </w:r>
    </w:p>
    <w:p w14:paraId="736B0A4E" w14:textId="5843F1D4" w:rsidR="007D0CE2" w:rsidRPr="00884EFB" w:rsidRDefault="007D0CE2" w:rsidP="005D067E">
      <w:pPr>
        <w:pStyle w:val="ListParagraph"/>
        <w:numPr>
          <w:ilvl w:val="0"/>
          <w:numId w:val="43"/>
        </w:numPr>
        <w:rPr>
          <w:rFonts w:asciiTheme="majorHAnsi" w:hAnsiTheme="majorHAnsi" w:cstheme="majorHAnsi"/>
          <w:sz w:val="24"/>
          <w:szCs w:val="24"/>
          <w:lang w:val="en-US"/>
        </w:rPr>
      </w:pPr>
      <w:r w:rsidRPr="00884EFB">
        <w:rPr>
          <w:rFonts w:asciiTheme="majorHAnsi" w:hAnsiTheme="majorHAnsi" w:cstheme="majorHAnsi"/>
          <w:sz w:val="24"/>
          <w:szCs w:val="24"/>
          <w:lang w:val="en-US"/>
        </w:rPr>
        <w:t>Supports for special education</w:t>
      </w:r>
    </w:p>
    <w:p w14:paraId="41A12903" w14:textId="521773A5" w:rsidR="00FE026E" w:rsidRPr="00740075" w:rsidRDefault="001F583B" w:rsidP="005D067E">
      <w:pPr>
        <w:pStyle w:val="ListParagraph"/>
        <w:numPr>
          <w:ilvl w:val="0"/>
          <w:numId w:val="43"/>
        </w:numPr>
        <w:rPr>
          <w:rFonts w:asciiTheme="majorHAnsi" w:hAnsiTheme="majorHAnsi" w:cstheme="majorHAnsi"/>
          <w:sz w:val="24"/>
          <w:szCs w:val="24"/>
          <w:lang w:val="en-US"/>
        </w:rPr>
      </w:pPr>
      <w:r w:rsidRPr="00740075">
        <w:rPr>
          <w:rFonts w:asciiTheme="majorHAnsi" w:hAnsiTheme="majorHAnsi" w:cstheme="majorHAnsi"/>
          <w:sz w:val="24"/>
          <w:szCs w:val="24"/>
          <w:lang w:val="en-US"/>
        </w:rPr>
        <w:t>Enhanced cleaning standards</w:t>
      </w:r>
    </w:p>
    <w:p w14:paraId="7951E8EA" w14:textId="77777777" w:rsidR="00C76211" w:rsidRPr="00D927DB" w:rsidRDefault="00C76211" w:rsidP="00635C08">
      <w:pPr>
        <w:pStyle w:val="NoSpacing"/>
        <w:rPr>
          <w:rFonts w:asciiTheme="majorHAnsi" w:hAnsiTheme="majorHAnsi" w:cstheme="majorHAnsi"/>
          <w:sz w:val="24"/>
          <w:szCs w:val="24"/>
          <w:lang w:val="en-US"/>
        </w:rPr>
      </w:pPr>
    </w:p>
    <w:p w14:paraId="743ABE97" w14:textId="75A507B5" w:rsidR="009E3DF6" w:rsidRDefault="009E3DF6" w:rsidP="00E95A7C">
      <w:pPr>
        <w:pStyle w:val="Heading2"/>
      </w:pPr>
      <w:bookmarkStart w:id="15" w:name="_Toc104628863"/>
      <w:r>
        <w:lastRenderedPageBreak/>
        <w:t>Expenditures</w:t>
      </w:r>
      <w:r w:rsidR="000D53DA">
        <w:t xml:space="preserve"> Trending</w:t>
      </w:r>
      <w:bookmarkEnd w:id="15"/>
    </w:p>
    <w:p w14:paraId="60B6B14C" w14:textId="448FC57D" w:rsidR="00CC5AEC" w:rsidRDefault="0031486A" w:rsidP="00635C08">
      <w:pPr>
        <w:pStyle w:val="NoSpacing"/>
      </w:pPr>
      <w:r>
        <w:rPr>
          <w:noProof/>
        </w:rPr>
        <w:drawing>
          <wp:inline distT="0" distB="0" distL="0" distR="0" wp14:anchorId="5A983815" wp14:editId="2C5400B5">
            <wp:extent cx="5648325" cy="3810000"/>
            <wp:effectExtent l="0" t="0" r="9525" b="0"/>
            <wp:docPr id="8" name="Chart 8">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DE6CF1E" w14:textId="1BFCBAC2" w:rsidR="00CC5AEC" w:rsidRDefault="00CC5AEC" w:rsidP="00635C08">
      <w:pPr>
        <w:pStyle w:val="NoSpacing"/>
      </w:pPr>
    </w:p>
    <w:p w14:paraId="49955C00" w14:textId="08FD9B6F" w:rsidR="00CC5AEC" w:rsidRDefault="00CC5AEC" w:rsidP="00635C08">
      <w:pPr>
        <w:pStyle w:val="NoSpacing"/>
        <w:rPr>
          <w:rFonts w:asciiTheme="majorHAnsi" w:hAnsiTheme="majorHAnsi" w:cstheme="majorHAnsi"/>
          <w:sz w:val="24"/>
          <w:szCs w:val="24"/>
        </w:rPr>
      </w:pPr>
      <w:r w:rsidRPr="00066A9C">
        <w:rPr>
          <w:rFonts w:asciiTheme="majorHAnsi" w:hAnsiTheme="majorHAnsi" w:cstheme="majorHAnsi"/>
          <w:sz w:val="24"/>
          <w:szCs w:val="24"/>
        </w:rPr>
        <w:t>The trendi</w:t>
      </w:r>
      <w:r w:rsidR="00C31416" w:rsidRPr="00066A9C">
        <w:rPr>
          <w:rFonts w:asciiTheme="majorHAnsi" w:hAnsiTheme="majorHAnsi" w:cstheme="majorHAnsi"/>
          <w:sz w:val="24"/>
          <w:szCs w:val="24"/>
        </w:rPr>
        <w:t>ng</w:t>
      </w:r>
      <w:r w:rsidR="00E93D62">
        <w:rPr>
          <w:rFonts w:asciiTheme="majorHAnsi" w:hAnsiTheme="majorHAnsi" w:cstheme="majorHAnsi"/>
          <w:sz w:val="24"/>
          <w:szCs w:val="24"/>
        </w:rPr>
        <w:t xml:space="preserve"> clearly show that the board is continuously investing</w:t>
      </w:r>
      <w:r w:rsidRPr="00066A9C">
        <w:rPr>
          <w:rFonts w:asciiTheme="majorHAnsi" w:hAnsiTheme="majorHAnsi" w:cstheme="majorHAnsi"/>
          <w:sz w:val="24"/>
          <w:szCs w:val="24"/>
        </w:rPr>
        <w:t xml:space="preserve"> in the area of instructional resources to meet the needs of its students</w:t>
      </w:r>
      <w:r w:rsidR="00B861D8" w:rsidRPr="00066A9C">
        <w:rPr>
          <w:rFonts w:asciiTheme="majorHAnsi" w:hAnsiTheme="majorHAnsi" w:cstheme="majorHAnsi"/>
          <w:sz w:val="24"/>
          <w:szCs w:val="24"/>
        </w:rPr>
        <w:t xml:space="preserve"> while maintaining relatively little change in the other areas of spending.</w:t>
      </w:r>
      <w:r w:rsidR="00C31416" w:rsidRPr="00066A9C">
        <w:rPr>
          <w:rFonts w:asciiTheme="majorHAnsi" w:hAnsiTheme="majorHAnsi" w:cstheme="majorHAnsi"/>
          <w:sz w:val="24"/>
          <w:szCs w:val="24"/>
        </w:rPr>
        <w:t xml:space="preserve"> </w:t>
      </w:r>
    </w:p>
    <w:p w14:paraId="49C54821" w14:textId="2C4FCAB5" w:rsidR="00CE2B95" w:rsidRDefault="00CE2B95" w:rsidP="00126820"/>
    <w:p w14:paraId="0C205CDF" w14:textId="509785B1" w:rsidR="00C54AC2" w:rsidRDefault="00C54AC2" w:rsidP="00126820"/>
    <w:p w14:paraId="5FF0B75B" w14:textId="02AED223" w:rsidR="00C54AC2" w:rsidRDefault="00C54AC2" w:rsidP="00126820"/>
    <w:p w14:paraId="07C03CCB" w14:textId="322C4E9E" w:rsidR="00C54AC2" w:rsidRDefault="00C54AC2" w:rsidP="00126820"/>
    <w:p w14:paraId="68D0BFA3" w14:textId="2DA075B3" w:rsidR="00C54AC2" w:rsidRDefault="00C54AC2" w:rsidP="00126820"/>
    <w:p w14:paraId="7FD029D1" w14:textId="7CF4A60F" w:rsidR="00C54AC2" w:rsidRDefault="00C54AC2" w:rsidP="00126820"/>
    <w:p w14:paraId="509384E2" w14:textId="1F0AA3EC" w:rsidR="00C54AC2" w:rsidRDefault="00C54AC2" w:rsidP="00126820"/>
    <w:p w14:paraId="763F5745" w14:textId="3943AD5B" w:rsidR="00C54AC2" w:rsidRDefault="00C54AC2" w:rsidP="00126820"/>
    <w:p w14:paraId="745E5FB6" w14:textId="13C28387" w:rsidR="00C54AC2" w:rsidRDefault="00C54AC2" w:rsidP="00126820"/>
    <w:p w14:paraId="283C98B4" w14:textId="7C9AF31A" w:rsidR="00C54AC2" w:rsidRDefault="00C54AC2" w:rsidP="00126820"/>
    <w:p w14:paraId="5F6D31BE" w14:textId="77777777" w:rsidR="00C54AC2" w:rsidRDefault="00C54AC2" w:rsidP="00126820"/>
    <w:p w14:paraId="3770EE34" w14:textId="4555D3BD" w:rsidR="00BD0AF1" w:rsidRDefault="000D53DA" w:rsidP="00E95A7C">
      <w:pPr>
        <w:pStyle w:val="Heading2"/>
        <w:rPr>
          <w:rFonts w:asciiTheme="minorHAnsi" w:eastAsiaTheme="minorHAnsi" w:hAnsiTheme="minorHAnsi" w:cstheme="minorBidi"/>
        </w:rPr>
      </w:pPr>
      <w:bookmarkStart w:id="16" w:name="_Toc104628864"/>
      <w:r>
        <w:lastRenderedPageBreak/>
        <w:t>Detailed Estimated Expenditures</w:t>
      </w:r>
      <w:bookmarkEnd w:id="16"/>
      <w:r w:rsidR="00142F5B">
        <w:fldChar w:fldCharType="begin"/>
      </w:r>
      <w:r w:rsidR="00142F5B">
        <w:instrText xml:space="preserve"> LINK </w:instrText>
      </w:r>
      <w:r w:rsidR="0075004D">
        <w:instrText xml:space="preserve">Excel.Sheet.12 "C:\\Users\\corallc\\Reports\\Budget Estimates\\2019 2020\\Schedule 10.xlsx" "Schedule 101!R7C2:R53C16" </w:instrText>
      </w:r>
      <w:r w:rsidR="00142F5B">
        <w:instrText xml:space="preserve">\a \f 4 \h </w:instrText>
      </w:r>
      <w:r>
        <w:instrText xml:space="preserve"> \* MERGEFORMAT </w:instrText>
      </w:r>
      <w:r w:rsidR="00142F5B">
        <w:fldChar w:fldCharType="separate"/>
      </w:r>
    </w:p>
    <w:p w14:paraId="3BBA0DCB" w14:textId="77777777" w:rsidR="001D5D9F" w:rsidRDefault="00142F5B" w:rsidP="00126820">
      <w:pPr>
        <w:pStyle w:val="NoSpacing"/>
      </w:pPr>
      <w:r>
        <w:fldChar w:fldCharType="end"/>
      </w:r>
    </w:p>
    <w:tbl>
      <w:tblPr>
        <w:tblW w:w="9020" w:type="dxa"/>
        <w:tblLook w:val="04A0" w:firstRow="1" w:lastRow="0" w:firstColumn="1" w:lastColumn="0" w:noHBand="0" w:noVBand="1"/>
      </w:tblPr>
      <w:tblGrid>
        <w:gridCol w:w="4820"/>
        <w:gridCol w:w="1400"/>
        <w:gridCol w:w="1400"/>
        <w:gridCol w:w="1400"/>
      </w:tblGrid>
      <w:tr w:rsidR="001D5D9F" w:rsidRPr="001D5D9F" w14:paraId="22E6B6A7" w14:textId="77777777" w:rsidTr="001D5D9F">
        <w:trPr>
          <w:trHeight w:val="1305"/>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BB0022E" w14:textId="77777777" w:rsidR="001D5D9F" w:rsidRPr="001D5D9F" w:rsidRDefault="001D5D9F" w:rsidP="001D5D9F">
            <w:pPr>
              <w:spacing w:after="0" w:line="240" w:lineRule="auto"/>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Description</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08BF5" w14:textId="77777777" w:rsidR="001D5D9F" w:rsidRPr="001D5D9F" w:rsidRDefault="001D5D9F" w:rsidP="001D5D9F">
            <w:pPr>
              <w:spacing w:after="0" w:line="240" w:lineRule="auto"/>
              <w:jc w:val="center"/>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2021-22 Revised Estimates Budget</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6098C" w14:textId="77777777" w:rsidR="001D5D9F" w:rsidRPr="001D5D9F" w:rsidRDefault="001D5D9F" w:rsidP="001D5D9F">
            <w:pPr>
              <w:spacing w:after="0" w:line="240" w:lineRule="auto"/>
              <w:jc w:val="center"/>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2022-23 Estimates Budget</w:t>
            </w:r>
          </w:p>
        </w:tc>
        <w:tc>
          <w:tcPr>
            <w:tcW w:w="1400" w:type="dxa"/>
            <w:tcBorders>
              <w:top w:val="nil"/>
              <w:left w:val="nil"/>
              <w:bottom w:val="nil"/>
              <w:right w:val="nil"/>
            </w:tcBorders>
            <w:shd w:val="clear" w:color="auto" w:fill="auto"/>
            <w:vAlign w:val="center"/>
            <w:hideMark/>
          </w:tcPr>
          <w:p w14:paraId="6B792E00" w14:textId="77777777" w:rsidR="001D5D9F" w:rsidRPr="001D5D9F" w:rsidRDefault="001D5D9F" w:rsidP="001D5D9F">
            <w:pPr>
              <w:spacing w:after="0" w:line="240" w:lineRule="auto"/>
              <w:jc w:val="center"/>
              <w:rPr>
                <w:rFonts w:ascii="Lato" w:eastAsia="Times New Roman" w:hAnsi="Lato" w:cs="Calibri"/>
                <w:b/>
                <w:bCs/>
                <w:color w:val="000000"/>
                <w:sz w:val="18"/>
                <w:szCs w:val="18"/>
                <w:lang w:eastAsia="en-CA"/>
              </w:rPr>
            </w:pPr>
          </w:p>
        </w:tc>
      </w:tr>
      <w:tr w:rsidR="001D5D9F" w:rsidRPr="001D5D9F" w14:paraId="5F1F3BF4" w14:textId="77777777" w:rsidTr="001D5D9F">
        <w:trPr>
          <w:trHeight w:val="330"/>
        </w:trPr>
        <w:tc>
          <w:tcPr>
            <w:tcW w:w="4820" w:type="dxa"/>
            <w:tcBorders>
              <w:top w:val="nil"/>
              <w:left w:val="single" w:sz="4" w:space="0" w:color="000000"/>
              <w:bottom w:val="single" w:sz="4" w:space="0" w:color="000000"/>
              <w:right w:val="nil"/>
            </w:tcBorders>
            <w:shd w:val="clear" w:color="000000" w:fill="FFFFFF"/>
            <w:vAlign w:val="bottom"/>
            <w:hideMark/>
          </w:tcPr>
          <w:p w14:paraId="07F9F9DD" w14:textId="77777777" w:rsidR="001D5D9F" w:rsidRPr="001D5D9F" w:rsidRDefault="001D5D9F" w:rsidP="001D5D9F">
            <w:pPr>
              <w:spacing w:after="0" w:line="240" w:lineRule="auto"/>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INSTRUCTION</w:t>
            </w:r>
          </w:p>
        </w:tc>
        <w:tc>
          <w:tcPr>
            <w:tcW w:w="1400" w:type="dxa"/>
            <w:tcBorders>
              <w:top w:val="nil"/>
              <w:left w:val="nil"/>
              <w:bottom w:val="nil"/>
              <w:right w:val="nil"/>
            </w:tcBorders>
            <w:shd w:val="clear" w:color="auto" w:fill="auto"/>
            <w:noWrap/>
            <w:vAlign w:val="bottom"/>
            <w:hideMark/>
          </w:tcPr>
          <w:p w14:paraId="1BF35AEB" w14:textId="77777777" w:rsidR="001D5D9F" w:rsidRPr="001D5D9F" w:rsidRDefault="001D5D9F" w:rsidP="001D5D9F">
            <w:pPr>
              <w:spacing w:after="0" w:line="240" w:lineRule="auto"/>
              <w:rPr>
                <w:rFonts w:ascii="Lato" w:eastAsia="Times New Roman" w:hAnsi="Lato" w:cs="Calibri"/>
                <w:b/>
                <w:bCs/>
                <w:color w:val="000000"/>
                <w:sz w:val="18"/>
                <w:szCs w:val="18"/>
                <w:lang w:eastAsia="en-CA"/>
              </w:rPr>
            </w:pPr>
          </w:p>
        </w:tc>
        <w:tc>
          <w:tcPr>
            <w:tcW w:w="1400" w:type="dxa"/>
            <w:tcBorders>
              <w:top w:val="nil"/>
              <w:left w:val="nil"/>
              <w:bottom w:val="nil"/>
              <w:right w:val="nil"/>
            </w:tcBorders>
            <w:shd w:val="clear" w:color="auto" w:fill="auto"/>
            <w:noWrap/>
            <w:vAlign w:val="bottom"/>
            <w:hideMark/>
          </w:tcPr>
          <w:p w14:paraId="61F3B5B9" w14:textId="77777777" w:rsidR="001D5D9F" w:rsidRPr="001D5D9F" w:rsidRDefault="001D5D9F" w:rsidP="001D5D9F">
            <w:pPr>
              <w:spacing w:after="0" w:line="240" w:lineRule="auto"/>
              <w:rPr>
                <w:rFonts w:ascii="Times New Roman" w:eastAsia="Times New Roman" w:hAnsi="Times New Roman" w:cs="Times New Roman"/>
                <w:sz w:val="20"/>
                <w:szCs w:val="20"/>
                <w:lang w:eastAsia="en-CA"/>
              </w:rPr>
            </w:pPr>
          </w:p>
        </w:tc>
        <w:tc>
          <w:tcPr>
            <w:tcW w:w="1400" w:type="dxa"/>
            <w:tcBorders>
              <w:top w:val="nil"/>
              <w:left w:val="nil"/>
              <w:bottom w:val="nil"/>
              <w:right w:val="nil"/>
            </w:tcBorders>
            <w:shd w:val="clear" w:color="auto" w:fill="auto"/>
            <w:noWrap/>
            <w:vAlign w:val="bottom"/>
            <w:hideMark/>
          </w:tcPr>
          <w:p w14:paraId="5D8F5791" w14:textId="77777777" w:rsidR="001D5D9F" w:rsidRPr="001D5D9F" w:rsidRDefault="001D5D9F" w:rsidP="001D5D9F">
            <w:pPr>
              <w:spacing w:after="0" w:line="240" w:lineRule="auto"/>
              <w:rPr>
                <w:rFonts w:ascii="Times New Roman" w:eastAsia="Times New Roman" w:hAnsi="Times New Roman" w:cs="Times New Roman"/>
                <w:sz w:val="20"/>
                <w:szCs w:val="20"/>
                <w:lang w:eastAsia="en-CA"/>
              </w:rPr>
            </w:pPr>
          </w:p>
        </w:tc>
      </w:tr>
      <w:tr w:rsidR="001D5D9F" w:rsidRPr="001D5D9F" w14:paraId="162744AE"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4C4BD728"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Classroom Teachers</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1489F95E"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47,454,280</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0C304AD7"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46,581,666</w:t>
            </w:r>
          </w:p>
        </w:tc>
        <w:tc>
          <w:tcPr>
            <w:tcW w:w="1400" w:type="dxa"/>
            <w:tcBorders>
              <w:top w:val="nil"/>
              <w:left w:val="nil"/>
              <w:bottom w:val="nil"/>
              <w:right w:val="nil"/>
            </w:tcBorders>
            <w:shd w:val="clear" w:color="auto" w:fill="auto"/>
            <w:noWrap/>
            <w:hideMark/>
          </w:tcPr>
          <w:p w14:paraId="33B3DCB8" w14:textId="77777777" w:rsidR="001D5D9F" w:rsidRPr="001D5D9F" w:rsidRDefault="001D5D9F" w:rsidP="001D5D9F">
            <w:pPr>
              <w:spacing w:after="0" w:line="240" w:lineRule="auto"/>
              <w:rPr>
                <w:rFonts w:ascii="Lato" w:eastAsia="Times New Roman" w:hAnsi="Lato" w:cs="Calibri"/>
                <w:color w:val="000000"/>
                <w:sz w:val="16"/>
                <w:szCs w:val="16"/>
                <w:lang w:eastAsia="en-CA"/>
              </w:rPr>
            </w:pPr>
            <w:r w:rsidRPr="001D5D9F">
              <w:rPr>
                <w:rFonts w:ascii="Lato" w:eastAsia="Times New Roman" w:hAnsi="Lato" w:cs="Calibri"/>
                <w:color w:val="000000"/>
                <w:sz w:val="16"/>
                <w:szCs w:val="16"/>
                <w:lang w:eastAsia="en-CA"/>
              </w:rPr>
              <w:t>Note 1</w:t>
            </w:r>
          </w:p>
        </w:tc>
      </w:tr>
      <w:tr w:rsidR="001D5D9F" w:rsidRPr="001D5D9F" w14:paraId="54C09EC7"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7B8285C6"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Supply Staff</w:t>
            </w:r>
          </w:p>
        </w:tc>
        <w:tc>
          <w:tcPr>
            <w:tcW w:w="1400" w:type="dxa"/>
            <w:tcBorders>
              <w:top w:val="nil"/>
              <w:left w:val="single" w:sz="4" w:space="0" w:color="auto"/>
              <w:bottom w:val="single" w:sz="4" w:space="0" w:color="auto"/>
              <w:right w:val="single" w:sz="4" w:space="0" w:color="auto"/>
            </w:tcBorders>
            <w:shd w:val="clear" w:color="auto" w:fill="auto"/>
            <w:noWrap/>
            <w:hideMark/>
          </w:tcPr>
          <w:p w14:paraId="5952F078"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3,645,920</w:t>
            </w:r>
          </w:p>
        </w:tc>
        <w:tc>
          <w:tcPr>
            <w:tcW w:w="1400" w:type="dxa"/>
            <w:tcBorders>
              <w:top w:val="nil"/>
              <w:left w:val="single" w:sz="4" w:space="0" w:color="auto"/>
              <w:bottom w:val="single" w:sz="4" w:space="0" w:color="auto"/>
              <w:right w:val="single" w:sz="4" w:space="0" w:color="auto"/>
            </w:tcBorders>
            <w:shd w:val="clear" w:color="auto" w:fill="auto"/>
            <w:noWrap/>
            <w:hideMark/>
          </w:tcPr>
          <w:p w14:paraId="5DE00907"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3,185,113</w:t>
            </w:r>
          </w:p>
        </w:tc>
        <w:tc>
          <w:tcPr>
            <w:tcW w:w="1400" w:type="dxa"/>
            <w:tcBorders>
              <w:top w:val="nil"/>
              <w:left w:val="nil"/>
              <w:bottom w:val="nil"/>
              <w:right w:val="nil"/>
            </w:tcBorders>
            <w:shd w:val="clear" w:color="auto" w:fill="auto"/>
            <w:noWrap/>
            <w:hideMark/>
          </w:tcPr>
          <w:p w14:paraId="76C73EC9" w14:textId="77777777" w:rsidR="001D5D9F" w:rsidRPr="001D5D9F" w:rsidRDefault="001D5D9F" w:rsidP="001D5D9F">
            <w:pPr>
              <w:spacing w:after="0" w:line="240" w:lineRule="auto"/>
              <w:rPr>
                <w:rFonts w:ascii="Lato" w:eastAsia="Times New Roman" w:hAnsi="Lato" w:cs="Calibri"/>
                <w:color w:val="000000"/>
                <w:sz w:val="16"/>
                <w:szCs w:val="16"/>
                <w:lang w:eastAsia="en-CA"/>
              </w:rPr>
            </w:pPr>
            <w:r w:rsidRPr="001D5D9F">
              <w:rPr>
                <w:rFonts w:ascii="Lato" w:eastAsia="Times New Roman" w:hAnsi="Lato" w:cs="Calibri"/>
                <w:color w:val="000000"/>
                <w:sz w:val="16"/>
                <w:szCs w:val="16"/>
                <w:lang w:eastAsia="en-CA"/>
              </w:rPr>
              <w:t>Note 1</w:t>
            </w:r>
          </w:p>
        </w:tc>
      </w:tr>
      <w:tr w:rsidR="001D5D9F" w:rsidRPr="001D5D9F" w14:paraId="4712040F"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7C981893"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Teacher Assistants</w:t>
            </w:r>
          </w:p>
        </w:tc>
        <w:tc>
          <w:tcPr>
            <w:tcW w:w="1400" w:type="dxa"/>
            <w:tcBorders>
              <w:top w:val="nil"/>
              <w:left w:val="single" w:sz="4" w:space="0" w:color="auto"/>
              <w:bottom w:val="single" w:sz="4" w:space="0" w:color="auto"/>
              <w:right w:val="single" w:sz="4" w:space="0" w:color="auto"/>
            </w:tcBorders>
            <w:shd w:val="clear" w:color="auto" w:fill="auto"/>
            <w:noWrap/>
            <w:hideMark/>
          </w:tcPr>
          <w:p w14:paraId="71F3A8E6"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6,221,902</w:t>
            </w:r>
          </w:p>
        </w:tc>
        <w:tc>
          <w:tcPr>
            <w:tcW w:w="1400" w:type="dxa"/>
            <w:tcBorders>
              <w:top w:val="nil"/>
              <w:left w:val="single" w:sz="4" w:space="0" w:color="auto"/>
              <w:bottom w:val="single" w:sz="4" w:space="0" w:color="auto"/>
              <w:right w:val="single" w:sz="4" w:space="0" w:color="auto"/>
            </w:tcBorders>
            <w:shd w:val="clear" w:color="auto" w:fill="auto"/>
            <w:noWrap/>
            <w:hideMark/>
          </w:tcPr>
          <w:p w14:paraId="2BA3762B"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6,890,372</w:t>
            </w:r>
          </w:p>
        </w:tc>
        <w:tc>
          <w:tcPr>
            <w:tcW w:w="1400" w:type="dxa"/>
            <w:tcBorders>
              <w:top w:val="nil"/>
              <w:left w:val="nil"/>
              <w:bottom w:val="nil"/>
              <w:right w:val="nil"/>
            </w:tcBorders>
            <w:shd w:val="clear" w:color="auto" w:fill="auto"/>
            <w:noWrap/>
            <w:hideMark/>
          </w:tcPr>
          <w:p w14:paraId="38F917C7" w14:textId="77777777" w:rsidR="001D5D9F" w:rsidRPr="001D5D9F" w:rsidRDefault="001D5D9F" w:rsidP="001D5D9F">
            <w:pPr>
              <w:spacing w:after="0" w:line="240" w:lineRule="auto"/>
              <w:rPr>
                <w:rFonts w:ascii="Lato" w:eastAsia="Times New Roman" w:hAnsi="Lato" w:cs="Calibri"/>
                <w:color w:val="000000"/>
                <w:sz w:val="16"/>
                <w:szCs w:val="16"/>
                <w:lang w:eastAsia="en-CA"/>
              </w:rPr>
            </w:pPr>
            <w:r w:rsidRPr="001D5D9F">
              <w:rPr>
                <w:rFonts w:ascii="Lato" w:eastAsia="Times New Roman" w:hAnsi="Lato" w:cs="Calibri"/>
                <w:color w:val="000000"/>
                <w:sz w:val="16"/>
                <w:szCs w:val="16"/>
                <w:lang w:eastAsia="en-CA"/>
              </w:rPr>
              <w:t>Note 1</w:t>
            </w:r>
          </w:p>
        </w:tc>
      </w:tr>
      <w:tr w:rsidR="001D5D9F" w:rsidRPr="001D5D9F" w14:paraId="4904D051"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19329A54"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Early Childhood Educator</w:t>
            </w:r>
          </w:p>
        </w:tc>
        <w:tc>
          <w:tcPr>
            <w:tcW w:w="1400" w:type="dxa"/>
            <w:tcBorders>
              <w:top w:val="nil"/>
              <w:left w:val="single" w:sz="4" w:space="0" w:color="auto"/>
              <w:bottom w:val="single" w:sz="4" w:space="0" w:color="auto"/>
              <w:right w:val="single" w:sz="4" w:space="0" w:color="auto"/>
            </w:tcBorders>
            <w:shd w:val="clear" w:color="auto" w:fill="auto"/>
            <w:noWrap/>
            <w:hideMark/>
          </w:tcPr>
          <w:p w14:paraId="45574B0D"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2,105,101</w:t>
            </w:r>
          </w:p>
        </w:tc>
        <w:tc>
          <w:tcPr>
            <w:tcW w:w="1400" w:type="dxa"/>
            <w:tcBorders>
              <w:top w:val="nil"/>
              <w:left w:val="single" w:sz="4" w:space="0" w:color="auto"/>
              <w:bottom w:val="single" w:sz="4" w:space="0" w:color="auto"/>
              <w:right w:val="single" w:sz="4" w:space="0" w:color="auto"/>
            </w:tcBorders>
            <w:shd w:val="clear" w:color="auto" w:fill="auto"/>
            <w:noWrap/>
            <w:hideMark/>
          </w:tcPr>
          <w:p w14:paraId="40E716F3"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2,058,042</w:t>
            </w:r>
          </w:p>
        </w:tc>
        <w:tc>
          <w:tcPr>
            <w:tcW w:w="1400" w:type="dxa"/>
            <w:tcBorders>
              <w:top w:val="nil"/>
              <w:left w:val="nil"/>
              <w:bottom w:val="nil"/>
              <w:right w:val="nil"/>
            </w:tcBorders>
            <w:shd w:val="clear" w:color="auto" w:fill="auto"/>
            <w:noWrap/>
            <w:hideMark/>
          </w:tcPr>
          <w:p w14:paraId="7C685153" w14:textId="77777777" w:rsidR="001D5D9F" w:rsidRPr="001D5D9F" w:rsidRDefault="001D5D9F" w:rsidP="001D5D9F">
            <w:pPr>
              <w:spacing w:after="0" w:line="240" w:lineRule="auto"/>
              <w:rPr>
                <w:rFonts w:ascii="Lato" w:eastAsia="Times New Roman" w:hAnsi="Lato" w:cs="Calibri"/>
                <w:color w:val="000000"/>
                <w:sz w:val="16"/>
                <w:szCs w:val="16"/>
                <w:lang w:eastAsia="en-CA"/>
              </w:rPr>
            </w:pPr>
            <w:r w:rsidRPr="001D5D9F">
              <w:rPr>
                <w:rFonts w:ascii="Lato" w:eastAsia="Times New Roman" w:hAnsi="Lato" w:cs="Calibri"/>
                <w:color w:val="000000"/>
                <w:sz w:val="16"/>
                <w:szCs w:val="16"/>
                <w:lang w:eastAsia="en-CA"/>
              </w:rPr>
              <w:t>Note 1</w:t>
            </w:r>
          </w:p>
        </w:tc>
      </w:tr>
      <w:tr w:rsidR="001D5D9F" w:rsidRPr="001D5D9F" w14:paraId="6965140C"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58B8944F"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Textbooks and Supplies</w:t>
            </w:r>
          </w:p>
        </w:tc>
        <w:tc>
          <w:tcPr>
            <w:tcW w:w="1400" w:type="dxa"/>
            <w:tcBorders>
              <w:top w:val="nil"/>
              <w:left w:val="single" w:sz="4" w:space="0" w:color="auto"/>
              <w:bottom w:val="single" w:sz="4" w:space="0" w:color="auto"/>
              <w:right w:val="single" w:sz="4" w:space="0" w:color="auto"/>
            </w:tcBorders>
            <w:shd w:val="clear" w:color="auto" w:fill="auto"/>
            <w:noWrap/>
            <w:hideMark/>
          </w:tcPr>
          <w:p w14:paraId="3C1E6F38"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4,001,360</w:t>
            </w:r>
          </w:p>
        </w:tc>
        <w:tc>
          <w:tcPr>
            <w:tcW w:w="1400" w:type="dxa"/>
            <w:tcBorders>
              <w:top w:val="nil"/>
              <w:left w:val="single" w:sz="4" w:space="0" w:color="auto"/>
              <w:bottom w:val="single" w:sz="4" w:space="0" w:color="auto"/>
              <w:right w:val="single" w:sz="4" w:space="0" w:color="auto"/>
            </w:tcBorders>
            <w:shd w:val="clear" w:color="auto" w:fill="auto"/>
            <w:noWrap/>
            <w:hideMark/>
          </w:tcPr>
          <w:p w14:paraId="769D8CFC"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2,746,344</w:t>
            </w:r>
          </w:p>
        </w:tc>
        <w:tc>
          <w:tcPr>
            <w:tcW w:w="1400" w:type="dxa"/>
            <w:tcBorders>
              <w:top w:val="nil"/>
              <w:left w:val="nil"/>
              <w:bottom w:val="nil"/>
              <w:right w:val="nil"/>
            </w:tcBorders>
            <w:shd w:val="clear" w:color="auto" w:fill="auto"/>
            <w:noWrap/>
            <w:hideMark/>
          </w:tcPr>
          <w:p w14:paraId="153690FE" w14:textId="77777777" w:rsidR="001D5D9F" w:rsidRPr="001D5D9F" w:rsidRDefault="001D5D9F" w:rsidP="001D5D9F">
            <w:pPr>
              <w:spacing w:after="0" w:line="240" w:lineRule="auto"/>
              <w:rPr>
                <w:rFonts w:ascii="Lato" w:eastAsia="Times New Roman" w:hAnsi="Lato" w:cs="Calibri"/>
                <w:color w:val="000000"/>
                <w:sz w:val="16"/>
                <w:szCs w:val="16"/>
                <w:lang w:eastAsia="en-CA"/>
              </w:rPr>
            </w:pPr>
            <w:r w:rsidRPr="001D5D9F">
              <w:rPr>
                <w:rFonts w:ascii="Lato" w:eastAsia="Times New Roman" w:hAnsi="Lato" w:cs="Calibri"/>
                <w:color w:val="000000"/>
                <w:sz w:val="16"/>
                <w:szCs w:val="16"/>
                <w:lang w:eastAsia="en-CA"/>
              </w:rPr>
              <w:t>Note 2</w:t>
            </w:r>
          </w:p>
        </w:tc>
      </w:tr>
      <w:tr w:rsidR="001D5D9F" w:rsidRPr="001D5D9F" w14:paraId="78894961"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65BEFDE7"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Computers</w:t>
            </w:r>
          </w:p>
        </w:tc>
        <w:tc>
          <w:tcPr>
            <w:tcW w:w="1400" w:type="dxa"/>
            <w:tcBorders>
              <w:top w:val="nil"/>
              <w:left w:val="single" w:sz="4" w:space="0" w:color="auto"/>
              <w:bottom w:val="single" w:sz="4" w:space="0" w:color="auto"/>
              <w:right w:val="single" w:sz="4" w:space="0" w:color="auto"/>
            </w:tcBorders>
            <w:shd w:val="clear" w:color="auto" w:fill="auto"/>
            <w:noWrap/>
            <w:hideMark/>
          </w:tcPr>
          <w:p w14:paraId="6B1F762F"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1,261,492</w:t>
            </w:r>
          </w:p>
        </w:tc>
        <w:tc>
          <w:tcPr>
            <w:tcW w:w="1400" w:type="dxa"/>
            <w:tcBorders>
              <w:top w:val="nil"/>
              <w:left w:val="single" w:sz="4" w:space="0" w:color="auto"/>
              <w:bottom w:val="single" w:sz="4" w:space="0" w:color="auto"/>
              <w:right w:val="single" w:sz="4" w:space="0" w:color="auto"/>
            </w:tcBorders>
            <w:shd w:val="clear" w:color="auto" w:fill="auto"/>
            <w:noWrap/>
            <w:hideMark/>
          </w:tcPr>
          <w:p w14:paraId="3105DF2A"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647,823</w:t>
            </w:r>
          </w:p>
        </w:tc>
        <w:tc>
          <w:tcPr>
            <w:tcW w:w="1400" w:type="dxa"/>
            <w:tcBorders>
              <w:top w:val="nil"/>
              <w:left w:val="nil"/>
              <w:bottom w:val="nil"/>
              <w:right w:val="nil"/>
            </w:tcBorders>
            <w:shd w:val="clear" w:color="auto" w:fill="auto"/>
            <w:noWrap/>
            <w:hideMark/>
          </w:tcPr>
          <w:p w14:paraId="494F0BEC" w14:textId="77777777" w:rsidR="001D5D9F" w:rsidRPr="001D5D9F" w:rsidRDefault="001D5D9F" w:rsidP="001D5D9F">
            <w:pPr>
              <w:spacing w:after="0" w:line="240" w:lineRule="auto"/>
              <w:rPr>
                <w:rFonts w:ascii="Lato" w:eastAsia="Times New Roman" w:hAnsi="Lato" w:cs="Calibri"/>
                <w:color w:val="000000"/>
                <w:sz w:val="16"/>
                <w:szCs w:val="16"/>
                <w:lang w:eastAsia="en-CA"/>
              </w:rPr>
            </w:pPr>
            <w:r w:rsidRPr="001D5D9F">
              <w:rPr>
                <w:rFonts w:ascii="Lato" w:eastAsia="Times New Roman" w:hAnsi="Lato" w:cs="Calibri"/>
                <w:color w:val="000000"/>
                <w:sz w:val="16"/>
                <w:szCs w:val="16"/>
                <w:lang w:eastAsia="en-CA"/>
              </w:rPr>
              <w:t>Note 3</w:t>
            </w:r>
          </w:p>
        </w:tc>
      </w:tr>
      <w:tr w:rsidR="001D5D9F" w:rsidRPr="001D5D9F" w14:paraId="22F158E4"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45D0F69D"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Professionals Paraprofessionals and Technicians</w:t>
            </w:r>
          </w:p>
        </w:tc>
        <w:tc>
          <w:tcPr>
            <w:tcW w:w="1400" w:type="dxa"/>
            <w:tcBorders>
              <w:top w:val="nil"/>
              <w:left w:val="single" w:sz="4" w:space="0" w:color="auto"/>
              <w:bottom w:val="single" w:sz="4" w:space="0" w:color="auto"/>
              <w:right w:val="single" w:sz="4" w:space="0" w:color="auto"/>
            </w:tcBorders>
            <w:shd w:val="clear" w:color="auto" w:fill="auto"/>
            <w:noWrap/>
            <w:hideMark/>
          </w:tcPr>
          <w:p w14:paraId="7C91BFEB"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3,964,209</w:t>
            </w:r>
          </w:p>
        </w:tc>
        <w:tc>
          <w:tcPr>
            <w:tcW w:w="1400" w:type="dxa"/>
            <w:tcBorders>
              <w:top w:val="nil"/>
              <w:left w:val="single" w:sz="4" w:space="0" w:color="auto"/>
              <w:bottom w:val="single" w:sz="4" w:space="0" w:color="auto"/>
              <w:right w:val="single" w:sz="4" w:space="0" w:color="auto"/>
            </w:tcBorders>
            <w:shd w:val="clear" w:color="auto" w:fill="auto"/>
            <w:noWrap/>
            <w:hideMark/>
          </w:tcPr>
          <w:p w14:paraId="7E7CA73C"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3,987,487</w:t>
            </w:r>
          </w:p>
        </w:tc>
        <w:tc>
          <w:tcPr>
            <w:tcW w:w="1400" w:type="dxa"/>
            <w:tcBorders>
              <w:top w:val="nil"/>
              <w:left w:val="nil"/>
              <w:bottom w:val="nil"/>
              <w:right w:val="nil"/>
            </w:tcBorders>
            <w:shd w:val="clear" w:color="auto" w:fill="auto"/>
            <w:noWrap/>
            <w:hideMark/>
          </w:tcPr>
          <w:p w14:paraId="0F289539"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p>
        </w:tc>
      </w:tr>
      <w:tr w:rsidR="001D5D9F" w:rsidRPr="001D5D9F" w14:paraId="581BA360"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1FEBEA9D"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Library and Guidance</w:t>
            </w:r>
          </w:p>
        </w:tc>
        <w:tc>
          <w:tcPr>
            <w:tcW w:w="1400" w:type="dxa"/>
            <w:tcBorders>
              <w:top w:val="nil"/>
              <w:left w:val="single" w:sz="4" w:space="0" w:color="auto"/>
              <w:bottom w:val="single" w:sz="4" w:space="0" w:color="auto"/>
              <w:right w:val="single" w:sz="4" w:space="0" w:color="auto"/>
            </w:tcBorders>
            <w:shd w:val="clear" w:color="auto" w:fill="auto"/>
            <w:noWrap/>
            <w:hideMark/>
          </w:tcPr>
          <w:p w14:paraId="38943CF6"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951,623</w:t>
            </w:r>
          </w:p>
        </w:tc>
        <w:tc>
          <w:tcPr>
            <w:tcW w:w="1400" w:type="dxa"/>
            <w:tcBorders>
              <w:top w:val="nil"/>
              <w:left w:val="single" w:sz="4" w:space="0" w:color="auto"/>
              <w:bottom w:val="single" w:sz="4" w:space="0" w:color="auto"/>
              <w:right w:val="single" w:sz="4" w:space="0" w:color="auto"/>
            </w:tcBorders>
            <w:shd w:val="clear" w:color="auto" w:fill="auto"/>
            <w:noWrap/>
            <w:hideMark/>
          </w:tcPr>
          <w:p w14:paraId="29F37E7D"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911,575</w:t>
            </w:r>
          </w:p>
        </w:tc>
        <w:tc>
          <w:tcPr>
            <w:tcW w:w="1400" w:type="dxa"/>
            <w:tcBorders>
              <w:top w:val="nil"/>
              <w:left w:val="nil"/>
              <w:bottom w:val="nil"/>
              <w:right w:val="nil"/>
            </w:tcBorders>
            <w:shd w:val="clear" w:color="auto" w:fill="auto"/>
            <w:noWrap/>
            <w:hideMark/>
          </w:tcPr>
          <w:p w14:paraId="7D484212"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p>
        </w:tc>
      </w:tr>
      <w:tr w:rsidR="001D5D9F" w:rsidRPr="001D5D9F" w14:paraId="1C4D6C57"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37577703"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Staff Development</w:t>
            </w:r>
          </w:p>
        </w:tc>
        <w:tc>
          <w:tcPr>
            <w:tcW w:w="1400" w:type="dxa"/>
            <w:tcBorders>
              <w:top w:val="nil"/>
              <w:left w:val="single" w:sz="4" w:space="0" w:color="auto"/>
              <w:bottom w:val="single" w:sz="4" w:space="0" w:color="auto"/>
              <w:right w:val="single" w:sz="4" w:space="0" w:color="auto"/>
            </w:tcBorders>
            <w:shd w:val="clear" w:color="auto" w:fill="auto"/>
            <w:noWrap/>
            <w:hideMark/>
          </w:tcPr>
          <w:p w14:paraId="317D7F77"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433,399</w:t>
            </w:r>
          </w:p>
        </w:tc>
        <w:tc>
          <w:tcPr>
            <w:tcW w:w="1400" w:type="dxa"/>
            <w:tcBorders>
              <w:top w:val="nil"/>
              <w:left w:val="single" w:sz="4" w:space="0" w:color="auto"/>
              <w:bottom w:val="single" w:sz="4" w:space="0" w:color="auto"/>
              <w:right w:val="single" w:sz="4" w:space="0" w:color="auto"/>
            </w:tcBorders>
            <w:shd w:val="clear" w:color="auto" w:fill="auto"/>
            <w:noWrap/>
            <w:hideMark/>
          </w:tcPr>
          <w:p w14:paraId="368FB5BF"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372,812</w:t>
            </w:r>
          </w:p>
        </w:tc>
        <w:tc>
          <w:tcPr>
            <w:tcW w:w="1400" w:type="dxa"/>
            <w:tcBorders>
              <w:top w:val="nil"/>
              <w:left w:val="nil"/>
              <w:bottom w:val="nil"/>
              <w:right w:val="nil"/>
            </w:tcBorders>
            <w:shd w:val="clear" w:color="auto" w:fill="auto"/>
            <w:noWrap/>
            <w:hideMark/>
          </w:tcPr>
          <w:p w14:paraId="423C3F19"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p>
        </w:tc>
      </w:tr>
      <w:tr w:rsidR="001D5D9F" w:rsidRPr="001D5D9F" w14:paraId="4B6AA206"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6141F94E"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Department Heads</w:t>
            </w:r>
          </w:p>
        </w:tc>
        <w:tc>
          <w:tcPr>
            <w:tcW w:w="1400" w:type="dxa"/>
            <w:tcBorders>
              <w:top w:val="nil"/>
              <w:left w:val="single" w:sz="4" w:space="0" w:color="auto"/>
              <w:bottom w:val="single" w:sz="4" w:space="0" w:color="auto"/>
              <w:right w:val="single" w:sz="4" w:space="0" w:color="auto"/>
            </w:tcBorders>
            <w:shd w:val="clear" w:color="auto" w:fill="auto"/>
            <w:noWrap/>
            <w:hideMark/>
          </w:tcPr>
          <w:p w14:paraId="3B060BEA"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80,000</w:t>
            </w:r>
          </w:p>
        </w:tc>
        <w:tc>
          <w:tcPr>
            <w:tcW w:w="1400" w:type="dxa"/>
            <w:tcBorders>
              <w:top w:val="nil"/>
              <w:left w:val="single" w:sz="4" w:space="0" w:color="auto"/>
              <w:bottom w:val="single" w:sz="4" w:space="0" w:color="auto"/>
              <w:right w:val="single" w:sz="4" w:space="0" w:color="auto"/>
            </w:tcBorders>
            <w:shd w:val="clear" w:color="auto" w:fill="auto"/>
            <w:noWrap/>
            <w:hideMark/>
          </w:tcPr>
          <w:p w14:paraId="7203DD08"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80,000</w:t>
            </w:r>
          </w:p>
        </w:tc>
        <w:tc>
          <w:tcPr>
            <w:tcW w:w="1400" w:type="dxa"/>
            <w:tcBorders>
              <w:top w:val="nil"/>
              <w:left w:val="nil"/>
              <w:bottom w:val="nil"/>
              <w:right w:val="nil"/>
            </w:tcBorders>
            <w:shd w:val="clear" w:color="auto" w:fill="auto"/>
            <w:noWrap/>
            <w:hideMark/>
          </w:tcPr>
          <w:p w14:paraId="1943719F"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p>
        </w:tc>
      </w:tr>
      <w:tr w:rsidR="001D5D9F" w:rsidRPr="001D5D9F" w14:paraId="3BDA1457"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54D6A209"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Principals and VPs</w:t>
            </w:r>
          </w:p>
        </w:tc>
        <w:tc>
          <w:tcPr>
            <w:tcW w:w="1400" w:type="dxa"/>
            <w:tcBorders>
              <w:top w:val="nil"/>
              <w:left w:val="single" w:sz="4" w:space="0" w:color="auto"/>
              <w:bottom w:val="single" w:sz="4" w:space="0" w:color="auto"/>
              <w:right w:val="single" w:sz="4" w:space="0" w:color="auto"/>
            </w:tcBorders>
            <w:shd w:val="clear" w:color="auto" w:fill="auto"/>
            <w:noWrap/>
            <w:hideMark/>
          </w:tcPr>
          <w:p w14:paraId="491315A6"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3,674,320</w:t>
            </w:r>
          </w:p>
        </w:tc>
        <w:tc>
          <w:tcPr>
            <w:tcW w:w="1400" w:type="dxa"/>
            <w:tcBorders>
              <w:top w:val="nil"/>
              <w:left w:val="single" w:sz="4" w:space="0" w:color="auto"/>
              <w:bottom w:val="single" w:sz="4" w:space="0" w:color="auto"/>
              <w:right w:val="single" w:sz="4" w:space="0" w:color="auto"/>
            </w:tcBorders>
            <w:shd w:val="clear" w:color="auto" w:fill="auto"/>
            <w:noWrap/>
            <w:hideMark/>
          </w:tcPr>
          <w:p w14:paraId="7C326E19"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3,711,703</w:t>
            </w:r>
          </w:p>
        </w:tc>
        <w:tc>
          <w:tcPr>
            <w:tcW w:w="1400" w:type="dxa"/>
            <w:tcBorders>
              <w:top w:val="nil"/>
              <w:left w:val="nil"/>
              <w:bottom w:val="nil"/>
              <w:right w:val="nil"/>
            </w:tcBorders>
            <w:shd w:val="clear" w:color="auto" w:fill="auto"/>
            <w:noWrap/>
            <w:hideMark/>
          </w:tcPr>
          <w:p w14:paraId="35B6AB65"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p>
        </w:tc>
      </w:tr>
      <w:tr w:rsidR="001D5D9F" w:rsidRPr="001D5D9F" w14:paraId="0A963AE5"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384B0E7F"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School Office</w:t>
            </w:r>
          </w:p>
        </w:tc>
        <w:tc>
          <w:tcPr>
            <w:tcW w:w="1400" w:type="dxa"/>
            <w:tcBorders>
              <w:top w:val="nil"/>
              <w:left w:val="single" w:sz="4" w:space="0" w:color="auto"/>
              <w:bottom w:val="single" w:sz="4" w:space="0" w:color="auto"/>
              <w:right w:val="single" w:sz="4" w:space="0" w:color="auto"/>
            </w:tcBorders>
            <w:shd w:val="clear" w:color="auto" w:fill="auto"/>
            <w:noWrap/>
            <w:hideMark/>
          </w:tcPr>
          <w:p w14:paraId="3277DD27"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2,264,853</w:t>
            </w:r>
          </w:p>
        </w:tc>
        <w:tc>
          <w:tcPr>
            <w:tcW w:w="1400" w:type="dxa"/>
            <w:tcBorders>
              <w:top w:val="nil"/>
              <w:left w:val="single" w:sz="4" w:space="0" w:color="auto"/>
              <w:bottom w:val="single" w:sz="4" w:space="0" w:color="auto"/>
              <w:right w:val="single" w:sz="4" w:space="0" w:color="auto"/>
            </w:tcBorders>
            <w:shd w:val="clear" w:color="auto" w:fill="auto"/>
            <w:noWrap/>
            <w:hideMark/>
          </w:tcPr>
          <w:p w14:paraId="3B6BF1CB"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2,528,051</w:t>
            </w:r>
          </w:p>
        </w:tc>
        <w:tc>
          <w:tcPr>
            <w:tcW w:w="1400" w:type="dxa"/>
            <w:tcBorders>
              <w:top w:val="nil"/>
              <w:left w:val="nil"/>
              <w:bottom w:val="nil"/>
              <w:right w:val="nil"/>
            </w:tcBorders>
            <w:shd w:val="clear" w:color="auto" w:fill="auto"/>
            <w:noWrap/>
            <w:hideMark/>
          </w:tcPr>
          <w:p w14:paraId="3727BD4E" w14:textId="77777777" w:rsidR="001D5D9F" w:rsidRPr="001D5D9F" w:rsidRDefault="001D5D9F" w:rsidP="001D5D9F">
            <w:pPr>
              <w:spacing w:after="0" w:line="240" w:lineRule="auto"/>
              <w:rPr>
                <w:rFonts w:ascii="Lato" w:eastAsia="Times New Roman" w:hAnsi="Lato" w:cs="Calibri"/>
                <w:color w:val="000000"/>
                <w:sz w:val="16"/>
                <w:szCs w:val="16"/>
                <w:lang w:eastAsia="en-CA"/>
              </w:rPr>
            </w:pPr>
            <w:r w:rsidRPr="001D5D9F">
              <w:rPr>
                <w:rFonts w:ascii="Lato" w:eastAsia="Times New Roman" w:hAnsi="Lato" w:cs="Calibri"/>
                <w:color w:val="000000"/>
                <w:sz w:val="16"/>
                <w:szCs w:val="16"/>
                <w:lang w:eastAsia="en-CA"/>
              </w:rPr>
              <w:t>Note 4</w:t>
            </w:r>
          </w:p>
        </w:tc>
      </w:tr>
      <w:tr w:rsidR="001D5D9F" w:rsidRPr="001D5D9F" w14:paraId="4EBC2CE6"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405E29B3"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Coordinators and Consultants</w:t>
            </w:r>
          </w:p>
        </w:tc>
        <w:tc>
          <w:tcPr>
            <w:tcW w:w="1400" w:type="dxa"/>
            <w:tcBorders>
              <w:top w:val="nil"/>
              <w:left w:val="single" w:sz="4" w:space="0" w:color="auto"/>
              <w:bottom w:val="single" w:sz="4" w:space="0" w:color="auto"/>
              <w:right w:val="single" w:sz="4" w:space="0" w:color="auto"/>
            </w:tcBorders>
            <w:shd w:val="clear" w:color="auto" w:fill="auto"/>
            <w:noWrap/>
            <w:hideMark/>
          </w:tcPr>
          <w:p w14:paraId="77728EF1"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1,793,377</w:t>
            </w:r>
          </w:p>
        </w:tc>
        <w:tc>
          <w:tcPr>
            <w:tcW w:w="1400" w:type="dxa"/>
            <w:tcBorders>
              <w:top w:val="nil"/>
              <w:left w:val="single" w:sz="4" w:space="0" w:color="auto"/>
              <w:bottom w:val="single" w:sz="4" w:space="0" w:color="auto"/>
              <w:right w:val="single" w:sz="4" w:space="0" w:color="auto"/>
            </w:tcBorders>
            <w:shd w:val="clear" w:color="auto" w:fill="auto"/>
            <w:noWrap/>
            <w:hideMark/>
          </w:tcPr>
          <w:p w14:paraId="00E2A85E"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2,827,169</w:t>
            </w:r>
          </w:p>
        </w:tc>
        <w:tc>
          <w:tcPr>
            <w:tcW w:w="1400" w:type="dxa"/>
            <w:tcBorders>
              <w:top w:val="nil"/>
              <w:left w:val="nil"/>
              <w:bottom w:val="nil"/>
              <w:right w:val="nil"/>
            </w:tcBorders>
            <w:shd w:val="clear" w:color="auto" w:fill="auto"/>
            <w:noWrap/>
            <w:hideMark/>
          </w:tcPr>
          <w:p w14:paraId="1261D885" w14:textId="77777777" w:rsidR="001D5D9F" w:rsidRPr="001D5D9F" w:rsidRDefault="001D5D9F" w:rsidP="001D5D9F">
            <w:pPr>
              <w:spacing w:after="0" w:line="240" w:lineRule="auto"/>
              <w:rPr>
                <w:rFonts w:ascii="Lato" w:eastAsia="Times New Roman" w:hAnsi="Lato" w:cs="Calibri"/>
                <w:color w:val="000000"/>
                <w:sz w:val="16"/>
                <w:szCs w:val="16"/>
                <w:lang w:eastAsia="en-CA"/>
              </w:rPr>
            </w:pPr>
            <w:r w:rsidRPr="001D5D9F">
              <w:rPr>
                <w:rFonts w:ascii="Lato" w:eastAsia="Times New Roman" w:hAnsi="Lato" w:cs="Calibri"/>
                <w:color w:val="000000"/>
                <w:sz w:val="16"/>
                <w:szCs w:val="16"/>
                <w:lang w:eastAsia="en-CA"/>
              </w:rPr>
              <w:t>Note 5</w:t>
            </w:r>
          </w:p>
        </w:tc>
      </w:tr>
      <w:tr w:rsidR="001D5D9F" w:rsidRPr="001D5D9F" w14:paraId="505EDA53"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24135CF2"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Continuing Education</w:t>
            </w:r>
          </w:p>
        </w:tc>
        <w:tc>
          <w:tcPr>
            <w:tcW w:w="1400" w:type="dxa"/>
            <w:tcBorders>
              <w:top w:val="nil"/>
              <w:left w:val="single" w:sz="4" w:space="0" w:color="auto"/>
              <w:bottom w:val="single" w:sz="4" w:space="0" w:color="auto"/>
              <w:right w:val="single" w:sz="4" w:space="0" w:color="auto"/>
            </w:tcBorders>
            <w:shd w:val="clear" w:color="auto" w:fill="auto"/>
            <w:noWrap/>
            <w:hideMark/>
          </w:tcPr>
          <w:p w14:paraId="15E16292"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1,265,836</w:t>
            </w:r>
          </w:p>
        </w:tc>
        <w:tc>
          <w:tcPr>
            <w:tcW w:w="1400" w:type="dxa"/>
            <w:tcBorders>
              <w:top w:val="nil"/>
              <w:left w:val="single" w:sz="4" w:space="0" w:color="auto"/>
              <w:bottom w:val="single" w:sz="4" w:space="0" w:color="auto"/>
              <w:right w:val="single" w:sz="4" w:space="0" w:color="auto"/>
            </w:tcBorders>
            <w:shd w:val="clear" w:color="auto" w:fill="auto"/>
            <w:noWrap/>
            <w:hideMark/>
          </w:tcPr>
          <w:p w14:paraId="028F266D"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901,802</w:t>
            </w:r>
          </w:p>
        </w:tc>
        <w:tc>
          <w:tcPr>
            <w:tcW w:w="1400" w:type="dxa"/>
            <w:tcBorders>
              <w:top w:val="nil"/>
              <w:left w:val="nil"/>
              <w:bottom w:val="nil"/>
              <w:right w:val="nil"/>
            </w:tcBorders>
            <w:shd w:val="clear" w:color="auto" w:fill="auto"/>
            <w:noWrap/>
            <w:hideMark/>
          </w:tcPr>
          <w:p w14:paraId="48C1DD98" w14:textId="77777777" w:rsidR="001D5D9F" w:rsidRPr="001D5D9F" w:rsidRDefault="001D5D9F" w:rsidP="001D5D9F">
            <w:pPr>
              <w:spacing w:after="0" w:line="240" w:lineRule="auto"/>
              <w:rPr>
                <w:rFonts w:ascii="Lato" w:eastAsia="Times New Roman" w:hAnsi="Lato" w:cs="Calibri"/>
                <w:color w:val="000000"/>
                <w:sz w:val="16"/>
                <w:szCs w:val="16"/>
                <w:lang w:eastAsia="en-CA"/>
              </w:rPr>
            </w:pPr>
            <w:r w:rsidRPr="001D5D9F">
              <w:rPr>
                <w:rFonts w:ascii="Lato" w:eastAsia="Times New Roman" w:hAnsi="Lato" w:cs="Calibri"/>
                <w:color w:val="000000"/>
                <w:sz w:val="16"/>
                <w:szCs w:val="16"/>
                <w:lang w:eastAsia="en-CA"/>
              </w:rPr>
              <w:t>Note 6</w:t>
            </w:r>
          </w:p>
        </w:tc>
      </w:tr>
      <w:tr w:rsidR="001D5D9F" w:rsidRPr="001D5D9F" w14:paraId="6D51ECB0"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61EA8548"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Instruction - Amortization and Write Downs</w:t>
            </w:r>
          </w:p>
        </w:tc>
        <w:tc>
          <w:tcPr>
            <w:tcW w:w="1400" w:type="dxa"/>
            <w:tcBorders>
              <w:top w:val="nil"/>
              <w:left w:val="single" w:sz="4" w:space="0" w:color="auto"/>
              <w:bottom w:val="single" w:sz="4" w:space="0" w:color="auto"/>
              <w:right w:val="single" w:sz="4" w:space="0" w:color="auto"/>
            </w:tcBorders>
            <w:shd w:val="clear" w:color="auto" w:fill="auto"/>
            <w:noWrap/>
            <w:hideMark/>
          </w:tcPr>
          <w:p w14:paraId="7D0800E8"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330,000</w:t>
            </w:r>
          </w:p>
        </w:tc>
        <w:tc>
          <w:tcPr>
            <w:tcW w:w="1400" w:type="dxa"/>
            <w:tcBorders>
              <w:top w:val="nil"/>
              <w:left w:val="single" w:sz="4" w:space="0" w:color="auto"/>
              <w:bottom w:val="single" w:sz="4" w:space="0" w:color="auto"/>
              <w:right w:val="single" w:sz="4" w:space="0" w:color="auto"/>
            </w:tcBorders>
            <w:shd w:val="clear" w:color="auto" w:fill="auto"/>
            <w:noWrap/>
            <w:hideMark/>
          </w:tcPr>
          <w:p w14:paraId="3717B7BF"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330,000</w:t>
            </w:r>
          </w:p>
        </w:tc>
        <w:tc>
          <w:tcPr>
            <w:tcW w:w="1400" w:type="dxa"/>
            <w:tcBorders>
              <w:top w:val="nil"/>
              <w:left w:val="nil"/>
              <w:bottom w:val="nil"/>
              <w:right w:val="nil"/>
            </w:tcBorders>
            <w:shd w:val="clear" w:color="auto" w:fill="auto"/>
            <w:noWrap/>
            <w:hideMark/>
          </w:tcPr>
          <w:p w14:paraId="23F0F0C8"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p>
        </w:tc>
      </w:tr>
      <w:tr w:rsidR="001D5D9F" w:rsidRPr="001D5D9F" w14:paraId="62C434E5"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7AF21970" w14:textId="77777777" w:rsidR="001D5D9F" w:rsidRPr="001D5D9F" w:rsidRDefault="001D5D9F" w:rsidP="001D5D9F">
            <w:pPr>
              <w:spacing w:after="0" w:line="240" w:lineRule="auto"/>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Total Instruction Expenses</w:t>
            </w:r>
          </w:p>
        </w:tc>
        <w:tc>
          <w:tcPr>
            <w:tcW w:w="1400" w:type="dxa"/>
            <w:tcBorders>
              <w:top w:val="nil"/>
              <w:left w:val="single" w:sz="4" w:space="0" w:color="auto"/>
              <w:bottom w:val="single" w:sz="4" w:space="0" w:color="auto"/>
              <w:right w:val="single" w:sz="4" w:space="0" w:color="auto"/>
            </w:tcBorders>
            <w:shd w:val="clear" w:color="auto" w:fill="auto"/>
            <w:hideMark/>
          </w:tcPr>
          <w:p w14:paraId="34C6E77B" w14:textId="77777777" w:rsidR="001D5D9F" w:rsidRPr="001D5D9F" w:rsidRDefault="001D5D9F" w:rsidP="001D5D9F">
            <w:pPr>
              <w:spacing w:after="0" w:line="240" w:lineRule="auto"/>
              <w:jc w:val="right"/>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79,447,672</w:t>
            </w:r>
          </w:p>
        </w:tc>
        <w:tc>
          <w:tcPr>
            <w:tcW w:w="1400" w:type="dxa"/>
            <w:tcBorders>
              <w:top w:val="nil"/>
              <w:left w:val="single" w:sz="4" w:space="0" w:color="auto"/>
              <w:bottom w:val="single" w:sz="4" w:space="0" w:color="auto"/>
              <w:right w:val="single" w:sz="4" w:space="0" w:color="auto"/>
            </w:tcBorders>
            <w:shd w:val="clear" w:color="auto" w:fill="auto"/>
            <w:hideMark/>
          </w:tcPr>
          <w:p w14:paraId="4DAB3505" w14:textId="77777777" w:rsidR="001D5D9F" w:rsidRPr="001D5D9F" w:rsidRDefault="001D5D9F" w:rsidP="001D5D9F">
            <w:pPr>
              <w:spacing w:after="0" w:line="240" w:lineRule="auto"/>
              <w:jc w:val="right"/>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77,759,959</w:t>
            </w:r>
          </w:p>
        </w:tc>
        <w:tc>
          <w:tcPr>
            <w:tcW w:w="1400" w:type="dxa"/>
            <w:tcBorders>
              <w:top w:val="nil"/>
              <w:left w:val="nil"/>
              <w:bottom w:val="nil"/>
              <w:right w:val="nil"/>
            </w:tcBorders>
            <w:shd w:val="clear" w:color="auto" w:fill="auto"/>
            <w:hideMark/>
          </w:tcPr>
          <w:p w14:paraId="3C1DEAC4" w14:textId="77777777" w:rsidR="001D5D9F" w:rsidRPr="001D5D9F" w:rsidRDefault="001D5D9F" w:rsidP="001D5D9F">
            <w:pPr>
              <w:spacing w:after="0" w:line="240" w:lineRule="auto"/>
              <w:jc w:val="right"/>
              <w:rPr>
                <w:rFonts w:ascii="Lato" w:eastAsia="Times New Roman" w:hAnsi="Lato" w:cs="Calibri"/>
                <w:b/>
                <w:bCs/>
                <w:color w:val="000000"/>
                <w:sz w:val="18"/>
                <w:szCs w:val="18"/>
                <w:lang w:eastAsia="en-CA"/>
              </w:rPr>
            </w:pPr>
          </w:p>
        </w:tc>
      </w:tr>
      <w:tr w:rsidR="001D5D9F" w:rsidRPr="001D5D9F" w14:paraId="241B43DD" w14:textId="77777777" w:rsidTr="001D5D9F">
        <w:trPr>
          <w:trHeight w:val="330"/>
        </w:trPr>
        <w:tc>
          <w:tcPr>
            <w:tcW w:w="4820" w:type="dxa"/>
            <w:tcBorders>
              <w:top w:val="nil"/>
              <w:left w:val="single" w:sz="4" w:space="0" w:color="000000"/>
              <w:bottom w:val="single" w:sz="4" w:space="0" w:color="000000"/>
              <w:right w:val="nil"/>
            </w:tcBorders>
            <w:shd w:val="clear" w:color="000000" w:fill="FFFFFF"/>
            <w:vAlign w:val="bottom"/>
            <w:hideMark/>
          </w:tcPr>
          <w:p w14:paraId="1C2E3146" w14:textId="77777777" w:rsidR="001D5D9F" w:rsidRPr="001D5D9F" w:rsidRDefault="001D5D9F" w:rsidP="001D5D9F">
            <w:pPr>
              <w:spacing w:after="0" w:line="240" w:lineRule="auto"/>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ADMINISTRATION</w:t>
            </w:r>
          </w:p>
        </w:tc>
        <w:tc>
          <w:tcPr>
            <w:tcW w:w="1400" w:type="dxa"/>
            <w:tcBorders>
              <w:top w:val="nil"/>
              <w:left w:val="nil"/>
              <w:bottom w:val="nil"/>
              <w:right w:val="nil"/>
            </w:tcBorders>
            <w:shd w:val="clear" w:color="auto" w:fill="auto"/>
            <w:noWrap/>
            <w:hideMark/>
          </w:tcPr>
          <w:p w14:paraId="33251C7A" w14:textId="77777777" w:rsidR="001D5D9F" w:rsidRPr="001D5D9F" w:rsidRDefault="001D5D9F" w:rsidP="001D5D9F">
            <w:pPr>
              <w:spacing w:after="0" w:line="240" w:lineRule="auto"/>
              <w:rPr>
                <w:rFonts w:ascii="Lato" w:eastAsia="Times New Roman" w:hAnsi="Lato" w:cs="Calibri"/>
                <w:b/>
                <w:bCs/>
                <w:color w:val="000000"/>
                <w:sz w:val="18"/>
                <w:szCs w:val="18"/>
                <w:lang w:eastAsia="en-CA"/>
              </w:rPr>
            </w:pPr>
          </w:p>
        </w:tc>
        <w:tc>
          <w:tcPr>
            <w:tcW w:w="1400" w:type="dxa"/>
            <w:tcBorders>
              <w:top w:val="nil"/>
              <w:left w:val="nil"/>
              <w:bottom w:val="nil"/>
              <w:right w:val="nil"/>
            </w:tcBorders>
            <w:shd w:val="clear" w:color="auto" w:fill="auto"/>
            <w:noWrap/>
            <w:hideMark/>
          </w:tcPr>
          <w:p w14:paraId="31C24A30" w14:textId="77777777" w:rsidR="001D5D9F" w:rsidRPr="001D5D9F" w:rsidRDefault="001D5D9F" w:rsidP="001D5D9F">
            <w:pPr>
              <w:spacing w:after="0" w:line="240" w:lineRule="auto"/>
              <w:rPr>
                <w:rFonts w:ascii="Times New Roman" w:eastAsia="Times New Roman" w:hAnsi="Times New Roman" w:cs="Times New Roman"/>
                <w:sz w:val="20"/>
                <w:szCs w:val="20"/>
                <w:lang w:eastAsia="en-CA"/>
              </w:rPr>
            </w:pPr>
          </w:p>
        </w:tc>
        <w:tc>
          <w:tcPr>
            <w:tcW w:w="1400" w:type="dxa"/>
            <w:tcBorders>
              <w:top w:val="nil"/>
              <w:left w:val="nil"/>
              <w:bottom w:val="nil"/>
              <w:right w:val="nil"/>
            </w:tcBorders>
            <w:shd w:val="clear" w:color="auto" w:fill="auto"/>
            <w:noWrap/>
            <w:hideMark/>
          </w:tcPr>
          <w:p w14:paraId="05A4F36D" w14:textId="77777777" w:rsidR="001D5D9F" w:rsidRPr="001D5D9F" w:rsidRDefault="001D5D9F" w:rsidP="001D5D9F">
            <w:pPr>
              <w:spacing w:after="0" w:line="240" w:lineRule="auto"/>
              <w:rPr>
                <w:rFonts w:ascii="Times New Roman" w:eastAsia="Times New Roman" w:hAnsi="Times New Roman" w:cs="Times New Roman"/>
                <w:sz w:val="20"/>
                <w:szCs w:val="20"/>
                <w:lang w:eastAsia="en-CA"/>
              </w:rPr>
            </w:pPr>
          </w:p>
        </w:tc>
      </w:tr>
      <w:tr w:rsidR="001D5D9F" w:rsidRPr="001D5D9F" w14:paraId="004070D9"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45072FA8"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Trustees</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3FBC069D"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111,821</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2B5692EC"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102,650</w:t>
            </w:r>
          </w:p>
        </w:tc>
        <w:tc>
          <w:tcPr>
            <w:tcW w:w="1400" w:type="dxa"/>
            <w:tcBorders>
              <w:top w:val="nil"/>
              <w:left w:val="nil"/>
              <w:bottom w:val="nil"/>
              <w:right w:val="nil"/>
            </w:tcBorders>
            <w:shd w:val="clear" w:color="auto" w:fill="auto"/>
            <w:noWrap/>
            <w:hideMark/>
          </w:tcPr>
          <w:p w14:paraId="334F3210"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p>
        </w:tc>
      </w:tr>
      <w:tr w:rsidR="001D5D9F" w:rsidRPr="001D5D9F" w14:paraId="783EEAA2"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4335F0ED"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Directors and Supervisory Officers</w:t>
            </w:r>
          </w:p>
        </w:tc>
        <w:tc>
          <w:tcPr>
            <w:tcW w:w="1400" w:type="dxa"/>
            <w:tcBorders>
              <w:top w:val="nil"/>
              <w:left w:val="single" w:sz="4" w:space="0" w:color="auto"/>
              <w:bottom w:val="single" w:sz="4" w:space="0" w:color="auto"/>
              <w:right w:val="single" w:sz="4" w:space="0" w:color="auto"/>
            </w:tcBorders>
            <w:shd w:val="clear" w:color="auto" w:fill="auto"/>
            <w:noWrap/>
            <w:hideMark/>
          </w:tcPr>
          <w:p w14:paraId="07688181"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539,605</w:t>
            </w:r>
          </w:p>
        </w:tc>
        <w:tc>
          <w:tcPr>
            <w:tcW w:w="1400" w:type="dxa"/>
            <w:tcBorders>
              <w:top w:val="nil"/>
              <w:left w:val="single" w:sz="4" w:space="0" w:color="auto"/>
              <w:bottom w:val="single" w:sz="4" w:space="0" w:color="auto"/>
              <w:right w:val="single" w:sz="4" w:space="0" w:color="auto"/>
            </w:tcBorders>
            <w:shd w:val="clear" w:color="auto" w:fill="auto"/>
            <w:noWrap/>
            <w:hideMark/>
          </w:tcPr>
          <w:p w14:paraId="4F3CE5B7"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560,217</w:t>
            </w:r>
          </w:p>
        </w:tc>
        <w:tc>
          <w:tcPr>
            <w:tcW w:w="1400" w:type="dxa"/>
            <w:tcBorders>
              <w:top w:val="nil"/>
              <w:left w:val="nil"/>
              <w:bottom w:val="nil"/>
              <w:right w:val="nil"/>
            </w:tcBorders>
            <w:shd w:val="clear" w:color="auto" w:fill="auto"/>
            <w:noWrap/>
            <w:hideMark/>
          </w:tcPr>
          <w:p w14:paraId="6E456BA1"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p>
        </w:tc>
      </w:tr>
      <w:tr w:rsidR="001D5D9F" w:rsidRPr="001D5D9F" w14:paraId="4716F5D7"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20BC3F77"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Board Administration</w:t>
            </w:r>
          </w:p>
        </w:tc>
        <w:tc>
          <w:tcPr>
            <w:tcW w:w="1400" w:type="dxa"/>
            <w:tcBorders>
              <w:top w:val="nil"/>
              <w:left w:val="single" w:sz="4" w:space="0" w:color="auto"/>
              <w:bottom w:val="single" w:sz="4" w:space="0" w:color="auto"/>
              <w:right w:val="single" w:sz="4" w:space="0" w:color="auto"/>
            </w:tcBorders>
            <w:shd w:val="clear" w:color="auto" w:fill="auto"/>
            <w:noWrap/>
            <w:hideMark/>
          </w:tcPr>
          <w:p w14:paraId="70DB8062"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4,610,093</w:t>
            </w:r>
          </w:p>
        </w:tc>
        <w:tc>
          <w:tcPr>
            <w:tcW w:w="1400" w:type="dxa"/>
            <w:tcBorders>
              <w:top w:val="nil"/>
              <w:left w:val="single" w:sz="4" w:space="0" w:color="auto"/>
              <w:bottom w:val="single" w:sz="4" w:space="0" w:color="auto"/>
              <w:right w:val="single" w:sz="4" w:space="0" w:color="auto"/>
            </w:tcBorders>
            <w:shd w:val="clear" w:color="auto" w:fill="auto"/>
            <w:noWrap/>
            <w:hideMark/>
          </w:tcPr>
          <w:p w14:paraId="2FD92CBC"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4,496,591</w:t>
            </w:r>
          </w:p>
        </w:tc>
        <w:tc>
          <w:tcPr>
            <w:tcW w:w="1400" w:type="dxa"/>
            <w:tcBorders>
              <w:top w:val="nil"/>
              <w:left w:val="nil"/>
              <w:bottom w:val="nil"/>
              <w:right w:val="nil"/>
            </w:tcBorders>
            <w:shd w:val="clear" w:color="auto" w:fill="auto"/>
            <w:noWrap/>
            <w:hideMark/>
          </w:tcPr>
          <w:p w14:paraId="3995E8F6"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p>
        </w:tc>
      </w:tr>
      <w:tr w:rsidR="001D5D9F" w:rsidRPr="001D5D9F" w14:paraId="222879C5"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56E21617" w14:textId="2AD23724"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Admin - Amortization and Write Downs</w:t>
            </w:r>
          </w:p>
        </w:tc>
        <w:tc>
          <w:tcPr>
            <w:tcW w:w="1400" w:type="dxa"/>
            <w:tcBorders>
              <w:top w:val="nil"/>
              <w:left w:val="single" w:sz="4" w:space="0" w:color="auto"/>
              <w:bottom w:val="single" w:sz="4" w:space="0" w:color="auto"/>
              <w:right w:val="single" w:sz="4" w:space="0" w:color="auto"/>
            </w:tcBorders>
            <w:shd w:val="clear" w:color="auto" w:fill="auto"/>
            <w:noWrap/>
            <w:hideMark/>
          </w:tcPr>
          <w:p w14:paraId="3A765A28"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76,000</w:t>
            </w:r>
          </w:p>
        </w:tc>
        <w:tc>
          <w:tcPr>
            <w:tcW w:w="1400" w:type="dxa"/>
            <w:tcBorders>
              <w:top w:val="nil"/>
              <w:left w:val="single" w:sz="4" w:space="0" w:color="auto"/>
              <w:bottom w:val="single" w:sz="4" w:space="0" w:color="auto"/>
              <w:right w:val="single" w:sz="4" w:space="0" w:color="auto"/>
            </w:tcBorders>
            <w:shd w:val="clear" w:color="auto" w:fill="auto"/>
            <w:noWrap/>
            <w:hideMark/>
          </w:tcPr>
          <w:p w14:paraId="696D764A"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76,000</w:t>
            </w:r>
          </w:p>
        </w:tc>
        <w:tc>
          <w:tcPr>
            <w:tcW w:w="1400" w:type="dxa"/>
            <w:tcBorders>
              <w:top w:val="nil"/>
              <w:left w:val="nil"/>
              <w:bottom w:val="nil"/>
              <w:right w:val="nil"/>
            </w:tcBorders>
            <w:shd w:val="clear" w:color="auto" w:fill="auto"/>
            <w:noWrap/>
            <w:hideMark/>
          </w:tcPr>
          <w:p w14:paraId="275FD2D8"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p>
        </w:tc>
      </w:tr>
      <w:tr w:rsidR="001D5D9F" w:rsidRPr="001D5D9F" w14:paraId="1FB6D0CF"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05D4311E" w14:textId="77777777" w:rsidR="001D5D9F" w:rsidRPr="001D5D9F" w:rsidRDefault="001D5D9F" w:rsidP="001D5D9F">
            <w:pPr>
              <w:spacing w:after="0" w:line="240" w:lineRule="auto"/>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Total Administration Expenses</w:t>
            </w:r>
          </w:p>
        </w:tc>
        <w:tc>
          <w:tcPr>
            <w:tcW w:w="1400" w:type="dxa"/>
            <w:tcBorders>
              <w:top w:val="nil"/>
              <w:left w:val="single" w:sz="4" w:space="0" w:color="auto"/>
              <w:bottom w:val="single" w:sz="4" w:space="0" w:color="auto"/>
              <w:right w:val="single" w:sz="4" w:space="0" w:color="auto"/>
            </w:tcBorders>
            <w:shd w:val="clear" w:color="auto" w:fill="auto"/>
            <w:hideMark/>
          </w:tcPr>
          <w:p w14:paraId="386D085E" w14:textId="77777777" w:rsidR="001D5D9F" w:rsidRPr="001D5D9F" w:rsidRDefault="001D5D9F" w:rsidP="001D5D9F">
            <w:pPr>
              <w:spacing w:after="0" w:line="240" w:lineRule="auto"/>
              <w:jc w:val="right"/>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5,337,519</w:t>
            </w:r>
          </w:p>
        </w:tc>
        <w:tc>
          <w:tcPr>
            <w:tcW w:w="1400" w:type="dxa"/>
            <w:tcBorders>
              <w:top w:val="nil"/>
              <w:left w:val="single" w:sz="4" w:space="0" w:color="auto"/>
              <w:bottom w:val="single" w:sz="4" w:space="0" w:color="auto"/>
              <w:right w:val="single" w:sz="4" w:space="0" w:color="auto"/>
            </w:tcBorders>
            <w:shd w:val="clear" w:color="auto" w:fill="auto"/>
            <w:hideMark/>
          </w:tcPr>
          <w:p w14:paraId="49E6C807" w14:textId="77777777" w:rsidR="001D5D9F" w:rsidRPr="001D5D9F" w:rsidRDefault="001D5D9F" w:rsidP="001D5D9F">
            <w:pPr>
              <w:spacing w:after="0" w:line="240" w:lineRule="auto"/>
              <w:jc w:val="right"/>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5,235,458</w:t>
            </w:r>
          </w:p>
        </w:tc>
        <w:tc>
          <w:tcPr>
            <w:tcW w:w="1400" w:type="dxa"/>
            <w:tcBorders>
              <w:top w:val="nil"/>
              <w:left w:val="nil"/>
              <w:bottom w:val="nil"/>
              <w:right w:val="nil"/>
            </w:tcBorders>
            <w:shd w:val="clear" w:color="auto" w:fill="auto"/>
            <w:hideMark/>
          </w:tcPr>
          <w:p w14:paraId="35949221" w14:textId="77777777" w:rsidR="001D5D9F" w:rsidRPr="001D5D9F" w:rsidRDefault="001D5D9F" w:rsidP="001D5D9F">
            <w:pPr>
              <w:spacing w:after="0" w:line="240" w:lineRule="auto"/>
              <w:jc w:val="right"/>
              <w:rPr>
                <w:rFonts w:ascii="Lato" w:eastAsia="Times New Roman" w:hAnsi="Lato" w:cs="Calibri"/>
                <w:b/>
                <w:bCs/>
                <w:color w:val="000000"/>
                <w:sz w:val="18"/>
                <w:szCs w:val="18"/>
                <w:lang w:eastAsia="en-CA"/>
              </w:rPr>
            </w:pPr>
          </w:p>
        </w:tc>
      </w:tr>
      <w:tr w:rsidR="001D5D9F" w:rsidRPr="001D5D9F" w14:paraId="35FC178A" w14:textId="77777777" w:rsidTr="001D5D9F">
        <w:trPr>
          <w:trHeight w:val="330"/>
        </w:trPr>
        <w:tc>
          <w:tcPr>
            <w:tcW w:w="4820" w:type="dxa"/>
            <w:tcBorders>
              <w:top w:val="nil"/>
              <w:left w:val="single" w:sz="4" w:space="0" w:color="000000"/>
              <w:bottom w:val="single" w:sz="4" w:space="0" w:color="000000"/>
              <w:right w:val="nil"/>
            </w:tcBorders>
            <w:shd w:val="clear" w:color="000000" w:fill="FFFFFF"/>
            <w:vAlign w:val="bottom"/>
            <w:hideMark/>
          </w:tcPr>
          <w:p w14:paraId="4375605A" w14:textId="77777777" w:rsidR="001D5D9F" w:rsidRPr="001D5D9F" w:rsidRDefault="001D5D9F" w:rsidP="001D5D9F">
            <w:pPr>
              <w:spacing w:after="0" w:line="240" w:lineRule="auto"/>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TRANSPORTATION</w:t>
            </w:r>
          </w:p>
        </w:tc>
        <w:tc>
          <w:tcPr>
            <w:tcW w:w="1400" w:type="dxa"/>
            <w:tcBorders>
              <w:top w:val="nil"/>
              <w:left w:val="nil"/>
              <w:bottom w:val="nil"/>
              <w:right w:val="nil"/>
            </w:tcBorders>
            <w:shd w:val="clear" w:color="auto" w:fill="auto"/>
            <w:noWrap/>
            <w:hideMark/>
          </w:tcPr>
          <w:p w14:paraId="08FE3DA8" w14:textId="77777777" w:rsidR="001D5D9F" w:rsidRPr="001D5D9F" w:rsidRDefault="001D5D9F" w:rsidP="001D5D9F">
            <w:pPr>
              <w:spacing w:after="0" w:line="240" w:lineRule="auto"/>
              <w:rPr>
                <w:rFonts w:ascii="Lato" w:eastAsia="Times New Roman" w:hAnsi="Lato" w:cs="Calibri"/>
                <w:b/>
                <w:bCs/>
                <w:color w:val="000000"/>
                <w:sz w:val="18"/>
                <w:szCs w:val="18"/>
                <w:lang w:eastAsia="en-CA"/>
              </w:rPr>
            </w:pPr>
          </w:p>
        </w:tc>
        <w:tc>
          <w:tcPr>
            <w:tcW w:w="1400" w:type="dxa"/>
            <w:tcBorders>
              <w:top w:val="nil"/>
              <w:left w:val="nil"/>
              <w:bottom w:val="nil"/>
              <w:right w:val="nil"/>
            </w:tcBorders>
            <w:shd w:val="clear" w:color="auto" w:fill="auto"/>
            <w:noWrap/>
            <w:hideMark/>
          </w:tcPr>
          <w:p w14:paraId="1C900B28" w14:textId="77777777" w:rsidR="001D5D9F" w:rsidRPr="001D5D9F" w:rsidRDefault="001D5D9F" w:rsidP="001D5D9F">
            <w:pPr>
              <w:spacing w:after="0" w:line="240" w:lineRule="auto"/>
              <w:rPr>
                <w:rFonts w:ascii="Times New Roman" w:eastAsia="Times New Roman" w:hAnsi="Times New Roman" w:cs="Times New Roman"/>
                <w:sz w:val="20"/>
                <w:szCs w:val="20"/>
                <w:lang w:eastAsia="en-CA"/>
              </w:rPr>
            </w:pPr>
          </w:p>
        </w:tc>
        <w:tc>
          <w:tcPr>
            <w:tcW w:w="1400" w:type="dxa"/>
            <w:tcBorders>
              <w:top w:val="nil"/>
              <w:left w:val="nil"/>
              <w:bottom w:val="nil"/>
              <w:right w:val="nil"/>
            </w:tcBorders>
            <w:shd w:val="clear" w:color="auto" w:fill="auto"/>
            <w:noWrap/>
            <w:hideMark/>
          </w:tcPr>
          <w:p w14:paraId="5D08CF0D" w14:textId="77777777" w:rsidR="001D5D9F" w:rsidRPr="001D5D9F" w:rsidRDefault="001D5D9F" w:rsidP="001D5D9F">
            <w:pPr>
              <w:spacing w:after="0" w:line="240" w:lineRule="auto"/>
              <w:rPr>
                <w:rFonts w:ascii="Times New Roman" w:eastAsia="Times New Roman" w:hAnsi="Times New Roman" w:cs="Times New Roman"/>
                <w:sz w:val="20"/>
                <w:szCs w:val="20"/>
                <w:lang w:eastAsia="en-CA"/>
              </w:rPr>
            </w:pPr>
          </w:p>
        </w:tc>
      </w:tr>
      <w:tr w:rsidR="001D5D9F" w:rsidRPr="001D5D9F" w14:paraId="2B08EF61" w14:textId="77777777" w:rsidTr="001D5D9F">
        <w:trPr>
          <w:trHeight w:val="315"/>
        </w:trPr>
        <w:tc>
          <w:tcPr>
            <w:tcW w:w="4820" w:type="dxa"/>
            <w:tcBorders>
              <w:top w:val="nil"/>
              <w:left w:val="single" w:sz="4" w:space="0" w:color="000000"/>
              <w:bottom w:val="single" w:sz="4" w:space="0" w:color="000000"/>
              <w:right w:val="single" w:sz="4" w:space="0" w:color="000000"/>
            </w:tcBorders>
            <w:shd w:val="clear" w:color="000000" w:fill="FFFFFF"/>
            <w:hideMark/>
          </w:tcPr>
          <w:p w14:paraId="231FDF9A"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Pupil Transportation</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18D1E1F4"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7,203,227</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46D5FA4C"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6,721,243</w:t>
            </w:r>
          </w:p>
        </w:tc>
        <w:tc>
          <w:tcPr>
            <w:tcW w:w="1400" w:type="dxa"/>
            <w:tcBorders>
              <w:top w:val="nil"/>
              <w:left w:val="nil"/>
              <w:bottom w:val="nil"/>
              <w:right w:val="nil"/>
            </w:tcBorders>
            <w:shd w:val="clear" w:color="auto" w:fill="auto"/>
            <w:noWrap/>
            <w:hideMark/>
          </w:tcPr>
          <w:p w14:paraId="19F01957" w14:textId="77777777" w:rsidR="001D5D9F" w:rsidRPr="001D5D9F" w:rsidRDefault="001D5D9F" w:rsidP="001D5D9F">
            <w:pPr>
              <w:spacing w:after="0" w:line="240" w:lineRule="auto"/>
              <w:rPr>
                <w:rFonts w:ascii="Lato" w:eastAsia="Times New Roman" w:hAnsi="Lato" w:cs="Calibri"/>
                <w:color w:val="000000"/>
                <w:sz w:val="16"/>
                <w:szCs w:val="16"/>
                <w:lang w:eastAsia="en-CA"/>
              </w:rPr>
            </w:pPr>
            <w:r w:rsidRPr="001D5D9F">
              <w:rPr>
                <w:rFonts w:ascii="Lato" w:eastAsia="Times New Roman" w:hAnsi="Lato" w:cs="Calibri"/>
                <w:color w:val="000000"/>
                <w:sz w:val="16"/>
                <w:szCs w:val="16"/>
                <w:lang w:eastAsia="en-CA"/>
              </w:rPr>
              <w:t>Note 7</w:t>
            </w:r>
          </w:p>
        </w:tc>
      </w:tr>
      <w:tr w:rsidR="001D5D9F" w:rsidRPr="001D5D9F" w14:paraId="62440EDD"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10D42EBD" w14:textId="77777777" w:rsidR="001D5D9F" w:rsidRPr="001D5D9F" w:rsidRDefault="001D5D9F" w:rsidP="001D5D9F">
            <w:pPr>
              <w:spacing w:after="0" w:line="240" w:lineRule="auto"/>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Total Transportation Expenses</w:t>
            </w:r>
          </w:p>
        </w:tc>
        <w:tc>
          <w:tcPr>
            <w:tcW w:w="1400" w:type="dxa"/>
            <w:tcBorders>
              <w:top w:val="nil"/>
              <w:left w:val="single" w:sz="4" w:space="0" w:color="auto"/>
              <w:bottom w:val="single" w:sz="4" w:space="0" w:color="auto"/>
              <w:right w:val="single" w:sz="4" w:space="0" w:color="auto"/>
            </w:tcBorders>
            <w:shd w:val="clear" w:color="auto" w:fill="auto"/>
            <w:hideMark/>
          </w:tcPr>
          <w:p w14:paraId="3711BB9D" w14:textId="77777777" w:rsidR="001D5D9F" w:rsidRPr="001D5D9F" w:rsidRDefault="001D5D9F" w:rsidP="001D5D9F">
            <w:pPr>
              <w:spacing w:after="0" w:line="240" w:lineRule="auto"/>
              <w:jc w:val="right"/>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7,203,227</w:t>
            </w:r>
          </w:p>
        </w:tc>
        <w:tc>
          <w:tcPr>
            <w:tcW w:w="1400" w:type="dxa"/>
            <w:tcBorders>
              <w:top w:val="nil"/>
              <w:left w:val="single" w:sz="4" w:space="0" w:color="auto"/>
              <w:bottom w:val="single" w:sz="4" w:space="0" w:color="auto"/>
              <w:right w:val="single" w:sz="4" w:space="0" w:color="auto"/>
            </w:tcBorders>
            <w:shd w:val="clear" w:color="auto" w:fill="auto"/>
            <w:hideMark/>
          </w:tcPr>
          <w:p w14:paraId="3E573D4B" w14:textId="77777777" w:rsidR="001D5D9F" w:rsidRPr="001D5D9F" w:rsidRDefault="001D5D9F" w:rsidP="001D5D9F">
            <w:pPr>
              <w:spacing w:after="0" w:line="240" w:lineRule="auto"/>
              <w:jc w:val="right"/>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6,721,243</w:t>
            </w:r>
          </w:p>
        </w:tc>
        <w:tc>
          <w:tcPr>
            <w:tcW w:w="1400" w:type="dxa"/>
            <w:tcBorders>
              <w:top w:val="nil"/>
              <w:left w:val="nil"/>
              <w:bottom w:val="nil"/>
              <w:right w:val="nil"/>
            </w:tcBorders>
            <w:shd w:val="clear" w:color="auto" w:fill="auto"/>
            <w:hideMark/>
          </w:tcPr>
          <w:p w14:paraId="33D7361F" w14:textId="77777777" w:rsidR="001D5D9F" w:rsidRPr="001D5D9F" w:rsidRDefault="001D5D9F" w:rsidP="001D5D9F">
            <w:pPr>
              <w:spacing w:after="0" w:line="240" w:lineRule="auto"/>
              <w:jc w:val="right"/>
              <w:rPr>
                <w:rFonts w:ascii="Lato" w:eastAsia="Times New Roman" w:hAnsi="Lato" w:cs="Calibri"/>
                <w:b/>
                <w:bCs/>
                <w:color w:val="000000"/>
                <w:sz w:val="18"/>
                <w:szCs w:val="18"/>
                <w:lang w:eastAsia="en-CA"/>
              </w:rPr>
            </w:pPr>
          </w:p>
        </w:tc>
      </w:tr>
      <w:tr w:rsidR="001D5D9F" w:rsidRPr="001D5D9F" w14:paraId="019055DB" w14:textId="77777777" w:rsidTr="001D5D9F">
        <w:trPr>
          <w:trHeight w:val="330"/>
        </w:trPr>
        <w:tc>
          <w:tcPr>
            <w:tcW w:w="4820" w:type="dxa"/>
            <w:tcBorders>
              <w:top w:val="nil"/>
              <w:left w:val="single" w:sz="4" w:space="0" w:color="000000"/>
              <w:bottom w:val="single" w:sz="4" w:space="0" w:color="000000"/>
              <w:right w:val="nil"/>
            </w:tcBorders>
            <w:shd w:val="clear" w:color="000000" w:fill="FFFFFF"/>
            <w:vAlign w:val="bottom"/>
            <w:hideMark/>
          </w:tcPr>
          <w:p w14:paraId="67FB18B0" w14:textId="77777777" w:rsidR="001D5D9F" w:rsidRPr="001D5D9F" w:rsidRDefault="001D5D9F" w:rsidP="001D5D9F">
            <w:pPr>
              <w:spacing w:after="0" w:line="240" w:lineRule="auto"/>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PUPIL ACCOMMODATION</w:t>
            </w:r>
          </w:p>
        </w:tc>
        <w:tc>
          <w:tcPr>
            <w:tcW w:w="1400" w:type="dxa"/>
            <w:tcBorders>
              <w:top w:val="nil"/>
              <w:left w:val="nil"/>
              <w:bottom w:val="nil"/>
              <w:right w:val="nil"/>
            </w:tcBorders>
            <w:shd w:val="clear" w:color="auto" w:fill="auto"/>
            <w:noWrap/>
            <w:hideMark/>
          </w:tcPr>
          <w:p w14:paraId="26EF0110" w14:textId="77777777" w:rsidR="001D5D9F" w:rsidRPr="001D5D9F" w:rsidRDefault="001D5D9F" w:rsidP="001D5D9F">
            <w:pPr>
              <w:spacing w:after="0" w:line="240" w:lineRule="auto"/>
              <w:rPr>
                <w:rFonts w:ascii="Lato" w:eastAsia="Times New Roman" w:hAnsi="Lato" w:cs="Calibri"/>
                <w:b/>
                <w:bCs/>
                <w:color w:val="000000"/>
                <w:sz w:val="18"/>
                <w:szCs w:val="18"/>
                <w:lang w:eastAsia="en-CA"/>
              </w:rPr>
            </w:pPr>
          </w:p>
        </w:tc>
        <w:tc>
          <w:tcPr>
            <w:tcW w:w="1400" w:type="dxa"/>
            <w:tcBorders>
              <w:top w:val="nil"/>
              <w:left w:val="nil"/>
              <w:bottom w:val="nil"/>
              <w:right w:val="nil"/>
            </w:tcBorders>
            <w:shd w:val="clear" w:color="auto" w:fill="auto"/>
            <w:noWrap/>
            <w:hideMark/>
          </w:tcPr>
          <w:p w14:paraId="3A089695" w14:textId="77777777" w:rsidR="001D5D9F" w:rsidRPr="001D5D9F" w:rsidRDefault="001D5D9F" w:rsidP="001D5D9F">
            <w:pPr>
              <w:spacing w:after="0" w:line="240" w:lineRule="auto"/>
              <w:rPr>
                <w:rFonts w:ascii="Times New Roman" w:eastAsia="Times New Roman" w:hAnsi="Times New Roman" w:cs="Times New Roman"/>
                <w:sz w:val="20"/>
                <w:szCs w:val="20"/>
                <w:lang w:eastAsia="en-CA"/>
              </w:rPr>
            </w:pPr>
          </w:p>
        </w:tc>
        <w:tc>
          <w:tcPr>
            <w:tcW w:w="1400" w:type="dxa"/>
            <w:tcBorders>
              <w:top w:val="nil"/>
              <w:left w:val="nil"/>
              <w:bottom w:val="nil"/>
              <w:right w:val="nil"/>
            </w:tcBorders>
            <w:shd w:val="clear" w:color="auto" w:fill="auto"/>
            <w:noWrap/>
            <w:hideMark/>
          </w:tcPr>
          <w:p w14:paraId="7685AED0" w14:textId="77777777" w:rsidR="001D5D9F" w:rsidRPr="001D5D9F" w:rsidRDefault="001D5D9F" w:rsidP="001D5D9F">
            <w:pPr>
              <w:spacing w:after="0" w:line="240" w:lineRule="auto"/>
              <w:rPr>
                <w:rFonts w:ascii="Times New Roman" w:eastAsia="Times New Roman" w:hAnsi="Times New Roman" w:cs="Times New Roman"/>
                <w:sz w:val="20"/>
                <w:szCs w:val="20"/>
                <w:lang w:eastAsia="en-CA"/>
              </w:rPr>
            </w:pPr>
          </w:p>
        </w:tc>
      </w:tr>
      <w:tr w:rsidR="001D5D9F" w:rsidRPr="001D5D9F" w14:paraId="36C3A75B"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193A6271"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School Operations and Maintenance</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6FDF3F26"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7,915,846</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62867FB0"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8,188,600</w:t>
            </w:r>
          </w:p>
        </w:tc>
        <w:tc>
          <w:tcPr>
            <w:tcW w:w="1400" w:type="dxa"/>
            <w:tcBorders>
              <w:top w:val="nil"/>
              <w:left w:val="nil"/>
              <w:bottom w:val="nil"/>
              <w:right w:val="nil"/>
            </w:tcBorders>
            <w:shd w:val="clear" w:color="auto" w:fill="auto"/>
            <w:noWrap/>
            <w:hideMark/>
          </w:tcPr>
          <w:p w14:paraId="5CDD744D" w14:textId="77777777" w:rsidR="001D5D9F" w:rsidRPr="001D5D9F" w:rsidRDefault="001D5D9F" w:rsidP="001D5D9F">
            <w:pPr>
              <w:spacing w:after="0" w:line="240" w:lineRule="auto"/>
              <w:rPr>
                <w:rFonts w:ascii="Lato" w:eastAsia="Times New Roman" w:hAnsi="Lato" w:cs="Calibri"/>
                <w:color w:val="000000"/>
                <w:sz w:val="16"/>
                <w:szCs w:val="16"/>
                <w:lang w:eastAsia="en-CA"/>
              </w:rPr>
            </w:pPr>
            <w:r w:rsidRPr="001D5D9F">
              <w:rPr>
                <w:rFonts w:ascii="Lato" w:eastAsia="Times New Roman" w:hAnsi="Lato" w:cs="Calibri"/>
                <w:color w:val="000000"/>
                <w:sz w:val="16"/>
                <w:szCs w:val="16"/>
                <w:lang w:eastAsia="en-CA"/>
              </w:rPr>
              <w:t>Note 8</w:t>
            </w:r>
          </w:p>
        </w:tc>
      </w:tr>
      <w:tr w:rsidR="001D5D9F" w:rsidRPr="001D5D9F" w14:paraId="57AC580C"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0AF831CB"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Other Pupil Accommodation</w:t>
            </w:r>
          </w:p>
        </w:tc>
        <w:tc>
          <w:tcPr>
            <w:tcW w:w="1400" w:type="dxa"/>
            <w:tcBorders>
              <w:top w:val="nil"/>
              <w:left w:val="single" w:sz="4" w:space="0" w:color="auto"/>
              <w:bottom w:val="single" w:sz="4" w:space="0" w:color="auto"/>
              <w:right w:val="single" w:sz="4" w:space="0" w:color="auto"/>
            </w:tcBorders>
            <w:shd w:val="clear" w:color="auto" w:fill="auto"/>
            <w:noWrap/>
            <w:hideMark/>
          </w:tcPr>
          <w:p w14:paraId="6E9AE327"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1,206,877</w:t>
            </w:r>
          </w:p>
        </w:tc>
        <w:tc>
          <w:tcPr>
            <w:tcW w:w="1400" w:type="dxa"/>
            <w:tcBorders>
              <w:top w:val="nil"/>
              <w:left w:val="single" w:sz="4" w:space="0" w:color="auto"/>
              <w:bottom w:val="single" w:sz="4" w:space="0" w:color="auto"/>
              <w:right w:val="single" w:sz="4" w:space="0" w:color="auto"/>
            </w:tcBorders>
            <w:shd w:val="clear" w:color="auto" w:fill="auto"/>
            <w:noWrap/>
            <w:hideMark/>
          </w:tcPr>
          <w:p w14:paraId="47094807"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1,079,133</w:t>
            </w:r>
          </w:p>
        </w:tc>
        <w:tc>
          <w:tcPr>
            <w:tcW w:w="1400" w:type="dxa"/>
            <w:tcBorders>
              <w:top w:val="nil"/>
              <w:left w:val="nil"/>
              <w:bottom w:val="nil"/>
              <w:right w:val="nil"/>
            </w:tcBorders>
            <w:shd w:val="clear" w:color="auto" w:fill="auto"/>
            <w:noWrap/>
            <w:hideMark/>
          </w:tcPr>
          <w:p w14:paraId="4A1D0DEF" w14:textId="77777777" w:rsidR="001D5D9F" w:rsidRPr="001D5D9F" w:rsidRDefault="001D5D9F" w:rsidP="001D5D9F">
            <w:pPr>
              <w:spacing w:after="0" w:line="240" w:lineRule="auto"/>
              <w:rPr>
                <w:rFonts w:ascii="Lato" w:eastAsia="Times New Roman" w:hAnsi="Lato" w:cs="Calibri"/>
                <w:color w:val="000000"/>
                <w:sz w:val="16"/>
                <w:szCs w:val="16"/>
                <w:lang w:eastAsia="en-CA"/>
              </w:rPr>
            </w:pPr>
            <w:r w:rsidRPr="001D5D9F">
              <w:rPr>
                <w:rFonts w:ascii="Lato" w:eastAsia="Times New Roman" w:hAnsi="Lato" w:cs="Calibri"/>
                <w:color w:val="000000"/>
                <w:sz w:val="16"/>
                <w:szCs w:val="16"/>
                <w:lang w:eastAsia="en-CA"/>
              </w:rPr>
              <w:t>Note 9</w:t>
            </w:r>
          </w:p>
        </w:tc>
      </w:tr>
      <w:tr w:rsidR="001D5D9F" w:rsidRPr="001D5D9F" w14:paraId="32C68EE4"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09BAB67B"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Pupil Accommodation - Amortization and Write Downs</w:t>
            </w:r>
          </w:p>
        </w:tc>
        <w:tc>
          <w:tcPr>
            <w:tcW w:w="1400" w:type="dxa"/>
            <w:tcBorders>
              <w:top w:val="nil"/>
              <w:left w:val="single" w:sz="4" w:space="0" w:color="auto"/>
              <w:bottom w:val="single" w:sz="4" w:space="0" w:color="auto"/>
              <w:right w:val="single" w:sz="4" w:space="0" w:color="auto"/>
            </w:tcBorders>
            <w:shd w:val="clear" w:color="auto" w:fill="auto"/>
            <w:noWrap/>
            <w:hideMark/>
          </w:tcPr>
          <w:p w14:paraId="5AF7324C"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6,060,933</w:t>
            </w:r>
          </w:p>
        </w:tc>
        <w:tc>
          <w:tcPr>
            <w:tcW w:w="1400" w:type="dxa"/>
            <w:tcBorders>
              <w:top w:val="nil"/>
              <w:left w:val="single" w:sz="4" w:space="0" w:color="auto"/>
              <w:bottom w:val="single" w:sz="4" w:space="0" w:color="auto"/>
              <w:right w:val="single" w:sz="4" w:space="0" w:color="auto"/>
            </w:tcBorders>
            <w:shd w:val="clear" w:color="auto" w:fill="auto"/>
            <w:noWrap/>
            <w:hideMark/>
          </w:tcPr>
          <w:p w14:paraId="58516E7E"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6,060,933</w:t>
            </w:r>
          </w:p>
        </w:tc>
        <w:tc>
          <w:tcPr>
            <w:tcW w:w="1400" w:type="dxa"/>
            <w:tcBorders>
              <w:top w:val="nil"/>
              <w:left w:val="nil"/>
              <w:bottom w:val="nil"/>
              <w:right w:val="nil"/>
            </w:tcBorders>
            <w:shd w:val="clear" w:color="auto" w:fill="auto"/>
            <w:noWrap/>
            <w:hideMark/>
          </w:tcPr>
          <w:p w14:paraId="4708AC4B"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p>
        </w:tc>
      </w:tr>
      <w:tr w:rsidR="001D5D9F" w:rsidRPr="001D5D9F" w14:paraId="6BCBA59C"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06648BE9" w14:textId="77777777" w:rsidR="001D5D9F" w:rsidRPr="001D5D9F" w:rsidRDefault="001D5D9F" w:rsidP="001D5D9F">
            <w:pPr>
              <w:spacing w:after="0" w:line="240" w:lineRule="auto"/>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Total Pupil Accommodation Expenses</w:t>
            </w:r>
          </w:p>
        </w:tc>
        <w:tc>
          <w:tcPr>
            <w:tcW w:w="1400" w:type="dxa"/>
            <w:tcBorders>
              <w:top w:val="nil"/>
              <w:left w:val="single" w:sz="4" w:space="0" w:color="auto"/>
              <w:bottom w:val="single" w:sz="4" w:space="0" w:color="auto"/>
              <w:right w:val="single" w:sz="4" w:space="0" w:color="auto"/>
            </w:tcBorders>
            <w:shd w:val="clear" w:color="auto" w:fill="auto"/>
            <w:hideMark/>
          </w:tcPr>
          <w:p w14:paraId="5A581D45" w14:textId="77777777" w:rsidR="001D5D9F" w:rsidRPr="001D5D9F" w:rsidRDefault="001D5D9F" w:rsidP="001D5D9F">
            <w:pPr>
              <w:spacing w:after="0" w:line="240" w:lineRule="auto"/>
              <w:jc w:val="right"/>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15,183,656</w:t>
            </w:r>
          </w:p>
        </w:tc>
        <w:tc>
          <w:tcPr>
            <w:tcW w:w="1400" w:type="dxa"/>
            <w:tcBorders>
              <w:top w:val="nil"/>
              <w:left w:val="single" w:sz="4" w:space="0" w:color="auto"/>
              <w:bottom w:val="single" w:sz="4" w:space="0" w:color="auto"/>
              <w:right w:val="single" w:sz="4" w:space="0" w:color="auto"/>
            </w:tcBorders>
            <w:shd w:val="clear" w:color="auto" w:fill="auto"/>
            <w:hideMark/>
          </w:tcPr>
          <w:p w14:paraId="0167BFAE" w14:textId="77777777" w:rsidR="001D5D9F" w:rsidRPr="001D5D9F" w:rsidRDefault="001D5D9F" w:rsidP="001D5D9F">
            <w:pPr>
              <w:spacing w:after="0" w:line="240" w:lineRule="auto"/>
              <w:jc w:val="right"/>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15,328,666</w:t>
            </w:r>
          </w:p>
        </w:tc>
        <w:tc>
          <w:tcPr>
            <w:tcW w:w="1400" w:type="dxa"/>
            <w:tcBorders>
              <w:top w:val="nil"/>
              <w:left w:val="nil"/>
              <w:bottom w:val="nil"/>
              <w:right w:val="nil"/>
            </w:tcBorders>
            <w:shd w:val="clear" w:color="auto" w:fill="auto"/>
            <w:hideMark/>
          </w:tcPr>
          <w:p w14:paraId="04312100" w14:textId="77777777" w:rsidR="001D5D9F" w:rsidRPr="001D5D9F" w:rsidRDefault="001D5D9F" w:rsidP="001D5D9F">
            <w:pPr>
              <w:spacing w:after="0" w:line="240" w:lineRule="auto"/>
              <w:jc w:val="right"/>
              <w:rPr>
                <w:rFonts w:ascii="Lato" w:eastAsia="Times New Roman" w:hAnsi="Lato" w:cs="Calibri"/>
                <w:b/>
                <w:bCs/>
                <w:color w:val="000000"/>
                <w:sz w:val="18"/>
                <w:szCs w:val="18"/>
                <w:lang w:eastAsia="en-CA"/>
              </w:rPr>
            </w:pPr>
          </w:p>
        </w:tc>
      </w:tr>
      <w:tr w:rsidR="00982F51" w:rsidRPr="001D5D9F" w14:paraId="1FB3E447"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tcPr>
          <w:p w14:paraId="2FF6299D" w14:textId="77777777" w:rsidR="00982F51" w:rsidRPr="001D5D9F" w:rsidRDefault="00982F51" w:rsidP="001D5D9F">
            <w:pPr>
              <w:spacing w:after="0" w:line="240" w:lineRule="auto"/>
              <w:rPr>
                <w:rFonts w:ascii="Lato" w:eastAsia="Times New Roman" w:hAnsi="Lato" w:cs="Calibri"/>
                <w:b/>
                <w:bCs/>
                <w:color w:val="000000"/>
                <w:sz w:val="18"/>
                <w:szCs w:val="18"/>
                <w:lang w:eastAsia="en-CA"/>
              </w:rPr>
            </w:pPr>
          </w:p>
        </w:tc>
        <w:tc>
          <w:tcPr>
            <w:tcW w:w="1400" w:type="dxa"/>
            <w:tcBorders>
              <w:top w:val="nil"/>
              <w:left w:val="single" w:sz="4" w:space="0" w:color="auto"/>
              <w:bottom w:val="single" w:sz="4" w:space="0" w:color="auto"/>
              <w:right w:val="single" w:sz="4" w:space="0" w:color="auto"/>
            </w:tcBorders>
            <w:shd w:val="clear" w:color="auto" w:fill="auto"/>
          </w:tcPr>
          <w:p w14:paraId="11A73851" w14:textId="77777777" w:rsidR="00982F51" w:rsidRPr="001D5D9F" w:rsidRDefault="00982F51" w:rsidP="001D5D9F">
            <w:pPr>
              <w:spacing w:after="0" w:line="240" w:lineRule="auto"/>
              <w:jc w:val="right"/>
              <w:rPr>
                <w:rFonts w:ascii="Lato" w:eastAsia="Times New Roman" w:hAnsi="Lato" w:cs="Calibri"/>
                <w:b/>
                <w:bCs/>
                <w:color w:val="000000"/>
                <w:sz w:val="18"/>
                <w:szCs w:val="18"/>
                <w:lang w:eastAsia="en-CA"/>
              </w:rPr>
            </w:pPr>
          </w:p>
        </w:tc>
        <w:tc>
          <w:tcPr>
            <w:tcW w:w="1400" w:type="dxa"/>
            <w:tcBorders>
              <w:top w:val="nil"/>
              <w:left w:val="single" w:sz="4" w:space="0" w:color="auto"/>
              <w:bottom w:val="single" w:sz="4" w:space="0" w:color="auto"/>
              <w:right w:val="single" w:sz="4" w:space="0" w:color="auto"/>
            </w:tcBorders>
            <w:shd w:val="clear" w:color="auto" w:fill="auto"/>
          </w:tcPr>
          <w:p w14:paraId="57282B74" w14:textId="77777777" w:rsidR="00982F51" w:rsidRPr="001D5D9F" w:rsidRDefault="00982F51" w:rsidP="001D5D9F">
            <w:pPr>
              <w:spacing w:after="0" w:line="240" w:lineRule="auto"/>
              <w:jc w:val="right"/>
              <w:rPr>
                <w:rFonts w:ascii="Lato" w:eastAsia="Times New Roman" w:hAnsi="Lato" w:cs="Calibri"/>
                <w:b/>
                <w:bCs/>
                <w:color w:val="000000"/>
                <w:sz w:val="18"/>
                <w:szCs w:val="18"/>
                <w:lang w:eastAsia="en-CA"/>
              </w:rPr>
            </w:pPr>
          </w:p>
        </w:tc>
        <w:tc>
          <w:tcPr>
            <w:tcW w:w="1400" w:type="dxa"/>
            <w:tcBorders>
              <w:top w:val="nil"/>
              <w:left w:val="nil"/>
              <w:bottom w:val="nil"/>
              <w:right w:val="nil"/>
            </w:tcBorders>
            <w:shd w:val="clear" w:color="auto" w:fill="auto"/>
          </w:tcPr>
          <w:p w14:paraId="3B17EB8A" w14:textId="77777777" w:rsidR="00982F51" w:rsidRPr="001D5D9F" w:rsidRDefault="00982F51" w:rsidP="001D5D9F">
            <w:pPr>
              <w:spacing w:after="0" w:line="240" w:lineRule="auto"/>
              <w:jc w:val="right"/>
              <w:rPr>
                <w:rFonts w:ascii="Lato" w:eastAsia="Times New Roman" w:hAnsi="Lato" w:cs="Calibri"/>
                <w:b/>
                <w:bCs/>
                <w:color w:val="000000"/>
                <w:sz w:val="18"/>
                <w:szCs w:val="18"/>
                <w:lang w:eastAsia="en-CA"/>
              </w:rPr>
            </w:pPr>
          </w:p>
        </w:tc>
      </w:tr>
      <w:tr w:rsidR="001D5D9F" w:rsidRPr="001D5D9F" w14:paraId="6D2C914C" w14:textId="77777777" w:rsidTr="001D5D9F">
        <w:trPr>
          <w:trHeight w:val="330"/>
        </w:trPr>
        <w:tc>
          <w:tcPr>
            <w:tcW w:w="4820" w:type="dxa"/>
            <w:tcBorders>
              <w:top w:val="nil"/>
              <w:left w:val="single" w:sz="4" w:space="0" w:color="000000"/>
              <w:bottom w:val="single" w:sz="4" w:space="0" w:color="000000"/>
              <w:right w:val="nil"/>
            </w:tcBorders>
            <w:shd w:val="clear" w:color="000000" w:fill="FFFFFF"/>
            <w:vAlign w:val="bottom"/>
            <w:hideMark/>
          </w:tcPr>
          <w:p w14:paraId="7E9D483D" w14:textId="77777777" w:rsidR="001D5D9F" w:rsidRPr="001D5D9F" w:rsidRDefault="001D5D9F" w:rsidP="001D5D9F">
            <w:pPr>
              <w:spacing w:after="0" w:line="240" w:lineRule="auto"/>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lastRenderedPageBreak/>
              <w:t>OTHER</w:t>
            </w:r>
          </w:p>
        </w:tc>
        <w:tc>
          <w:tcPr>
            <w:tcW w:w="1400" w:type="dxa"/>
            <w:tcBorders>
              <w:top w:val="nil"/>
              <w:left w:val="nil"/>
              <w:bottom w:val="nil"/>
              <w:right w:val="nil"/>
            </w:tcBorders>
            <w:shd w:val="clear" w:color="auto" w:fill="auto"/>
            <w:noWrap/>
            <w:hideMark/>
          </w:tcPr>
          <w:p w14:paraId="72E942C5" w14:textId="77777777" w:rsidR="001D5D9F" w:rsidRPr="001D5D9F" w:rsidRDefault="001D5D9F" w:rsidP="001D5D9F">
            <w:pPr>
              <w:spacing w:after="0" w:line="240" w:lineRule="auto"/>
              <w:rPr>
                <w:rFonts w:ascii="Lato" w:eastAsia="Times New Roman" w:hAnsi="Lato" w:cs="Calibri"/>
                <w:b/>
                <w:bCs/>
                <w:color w:val="000000"/>
                <w:sz w:val="18"/>
                <w:szCs w:val="18"/>
                <w:lang w:eastAsia="en-CA"/>
              </w:rPr>
            </w:pPr>
          </w:p>
        </w:tc>
        <w:tc>
          <w:tcPr>
            <w:tcW w:w="1400" w:type="dxa"/>
            <w:tcBorders>
              <w:top w:val="nil"/>
              <w:left w:val="nil"/>
              <w:bottom w:val="nil"/>
              <w:right w:val="nil"/>
            </w:tcBorders>
            <w:shd w:val="clear" w:color="auto" w:fill="auto"/>
            <w:noWrap/>
            <w:hideMark/>
          </w:tcPr>
          <w:p w14:paraId="79B36E15" w14:textId="77777777" w:rsidR="001D5D9F" w:rsidRPr="001D5D9F" w:rsidRDefault="001D5D9F" w:rsidP="001D5D9F">
            <w:pPr>
              <w:spacing w:after="0" w:line="240" w:lineRule="auto"/>
              <w:rPr>
                <w:rFonts w:ascii="Times New Roman" w:eastAsia="Times New Roman" w:hAnsi="Times New Roman" w:cs="Times New Roman"/>
                <w:sz w:val="20"/>
                <w:szCs w:val="20"/>
                <w:lang w:eastAsia="en-CA"/>
              </w:rPr>
            </w:pPr>
          </w:p>
        </w:tc>
        <w:tc>
          <w:tcPr>
            <w:tcW w:w="1400" w:type="dxa"/>
            <w:tcBorders>
              <w:top w:val="nil"/>
              <w:left w:val="nil"/>
              <w:bottom w:val="nil"/>
              <w:right w:val="nil"/>
            </w:tcBorders>
            <w:shd w:val="clear" w:color="auto" w:fill="auto"/>
            <w:noWrap/>
            <w:hideMark/>
          </w:tcPr>
          <w:p w14:paraId="739318D5" w14:textId="77777777" w:rsidR="001D5D9F" w:rsidRPr="001D5D9F" w:rsidRDefault="001D5D9F" w:rsidP="001D5D9F">
            <w:pPr>
              <w:spacing w:after="0" w:line="240" w:lineRule="auto"/>
              <w:rPr>
                <w:rFonts w:ascii="Times New Roman" w:eastAsia="Times New Roman" w:hAnsi="Times New Roman" w:cs="Times New Roman"/>
                <w:sz w:val="20"/>
                <w:szCs w:val="20"/>
                <w:lang w:eastAsia="en-CA"/>
              </w:rPr>
            </w:pPr>
          </w:p>
        </w:tc>
      </w:tr>
      <w:tr w:rsidR="001D5D9F" w:rsidRPr="001D5D9F" w14:paraId="448C346C"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61CEFC6E"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School Generated Funds Expenses</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5CB6F07C"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670,099</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7134ADCB"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1,361,421</w:t>
            </w:r>
          </w:p>
        </w:tc>
        <w:tc>
          <w:tcPr>
            <w:tcW w:w="1400" w:type="dxa"/>
            <w:tcBorders>
              <w:top w:val="nil"/>
              <w:left w:val="nil"/>
              <w:bottom w:val="nil"/>
              <w:right w:val="nil"/>
            </w:tcBorders>
            <w:shd w:val="clear" w:color="auto" w:fill="auto"/>
            <w:noWrap/>
            <w:hideMark/>
          </w:tcPr>
          <w:p w14:paraId="0CFC4267" w14:textId="77777777" w:rsidR="001D5D9F" w:rsidRPr="001D5D9F" w:rsidRDefault="001D5D9F" w:rsidP="001D5D9F">
            <w:pPr>
              <w:spacing w:after="0" w:line="240" w:lineRule="auto"/>
              <w:rPr>
                <w:rFonts w:ascii="Lato" w:eastAsia="Times New Roman" w:hAnsi="Lato" w:cs="Calibri"/>
                <w:color w:val="000000"/>
                <w:sz w:val="16"/>
                <w:szCs w:val="16"/>
                <w:lang w:eastAsia="en-CA"/>
              </w:rPr>
            </w:pPr>
            <w:r w:rsidRPr="001D5D9F">
              <w:rPr>
                <w:rFonts w:ascii="Lato" w:eastAsia="Times New Roman" w:hAnsi="Lato" w:cs="Calibri"/>
                <w:color w:val="000000"/>
                <w:sz w:val="16"/>
                <w:szCs w:val="16"/>
                <w:lang w:eastAsia="en-CA"/>
              </w:rPr>
              <w:t>Note 10</w:t>
            </w:r>
          </w:p>
        </w:tc>
      </w:tr>
      <w:tr w:rsidR="001D5D9F" w:rsidRPr="001D5D9F" w14:paraId="4E5EF1A1"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51C3E641"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Other Non-Operating Expenses</w:t>
            </w:r>
          </w:p>
        </w:tc>
        <w:tc>
          <w:tcPr>
            <w:tcW w:w="1400" w:type="dxa"/>
            <w:tcBorders>
              <w:top w:val="nil"/>
              <w:left w:val="single" w:sz="4" w:space="0" w:color="auto"/>
              <w:bottom w:val="single" w:sz="4" w:space="0" w:color="auto"/>
              <w:right w:val="single" w:sz="4" w:space="0" w:color="auto"/>
            </w:tcBorders>
            <w:shd w:val="clear" w:color="auto" w:fill="auto"/>
            <w:noWrap/>
            <w:hideMark/>
          </w:tcPr>
          <w:p w14:paraId="63652F57"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362,200</w:t>
            </w:r>
          </w:p>
        </w:tc>
        <w:tc>
          <w:tcPr>
            <w:tcW w:w="1400" w:type="dxa"/>
            <w:tcBorders>
              <w:top w:val="nil"/>
              <w:left w:val="single" w:sz="4" w:space="0" w:color="auto"/>
              <w:bottom w:val="single" w:sz="4" w:space="0" w:color="auto"/>
              <w:right w:val="single" w:sz="4" w:space="0" w:color="auto"/>
            </w:tcBorders>
            <w:shd w:val="clear" w:color="auto" w:fill="auto"/>
            <w:noWrap/>
            <w:hideMark/>
          </w:tcPr>
          <w:p w14:paraId="3BD613BE"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528,935</w:t>
            </w:r>
          </w:p>
        </w:tc>
        <w:tc>
          <w:tcPr>
            <w:tcW w:w="1400" w:type="dxa"/>
            <w:tcBorders>
              <w:top w:val="nil"/>
              <w:left w:val="nil"/>
              <w:bottom w:val="nil"/>
              <w:right w:val="nil"/>
            </w:tcBorders>
            <w:shd w:val="clear" w:color="auto" w:fill="auto"/>
            <w:noWrap/>
            <w:hideMark/>
          </w:tcPr>
          <w:p w14:paraId="1EC03286" w14:textId="77777777" w:rsidR="001D5D9F" w:rsidRPr="001D5D9F" w:rsidRDefault="001D5D9F" w:rsidP="001D5D9F">
            <w:pPr>
              <w:spacing w:after="0" w:line="240" w:lineRule="auto"/>
              <w:rPr>
                <w:rFonts w:ascii="Lato" w:eastAsia="Times New Roman" w:hAnsi="Lato" w:cs="Calibri"/>
                <w:color w:val="000000"/>
                <w:sz w:val="16"/>
                <w:szCs w:val="16"/>
                <w:lang w:eastAsia="en-CA"/>
              </w:rPr>
            </w:pPr>
            <w:r w:rsidRPr="001D5D9F">
              <w:rPr>
                <w:rFonts w:ascii="Lato" w:eastAsia="Times New Roman" w:hAnsi="Lato" w:cs="Calibri"/>
                <w:color w:val="000000"/>
                <w:sz w:val="16"/>
                <w:szCs w:val="16"/>
                <w:lang w:eastAsia="en-CA"/>
              </w:rPr>
              <w:t>Note 11</w:t>
            </w:r>
          </w:p>
        </w:tc>
      </w:tr>
      <w:tr w:rsidR="001D5D9F" w:rsidRPr="001D5D9F" w14:paraId="697BAFB0"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2B689B1C"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Provision for Contingencies</w:t>
            </w:r>
          </w:p>
        </w:tc>
        <w:tc>
          <w:tcPr>
            <w:tcW w:w="1400" w:type="dxa"/>
            <w:tcBorders>
              <w:top w:val="nil"/>
              <w:left w:val="single" w:sz="4" w:space="0" w:color="auto"/>
              <w:bottom w:val="single" w:sz="4" w:space="0" w:color="auto"/>
              <w:right w:val="single" w:sz="4" w:space="0" w:color="auto"/>
            </w:tcBorders>
            <w:shd w:val="clear" w:color="auto" w:fill="auto"/>
            <w:noWrap/>
            <w:hideMark/>
          </w:tcPr>
          <w:p w14:paraId="6713510B" w14:textId="77777777" w:rsidR="001D5D9F" w:rsidRPr="001D5D9F" w:rsidRDefault="001D5D9F" w:rsidP="001D5D9F">
            <w:pPr>
              <w:spacing w:after="0" w:line="240" w:lineRule="auto"/>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 </w:t>
            </w:r>
          </w:p>
        </w:tc>
        <w:tc>
          <w:tcPr>
            <w:tcW w:w="1400" w:type="dxa"/>
            <w:tcBorders>
              <w:top w:val="nil"/>
              <w:left w:val="single" w:sz="4" w:space="0" w:color="auto"/>
              <w:bottom w:val="single" w:sz="4" w:space="0" w:color="auto"/>
              <w:right w:val="single" w:sz="4" w:space="0" w:color="auto"/>
            </w:tcBorders>
            <w:shd w:val="clear" w:color="auto" w:fill="auto"/>
            <w:noWrap/>
            <w:hideMark/>
          </w:tcPr>
          <w:p w14:paraId="6B1904F6" w14:textId="77777777" w:rsidR="001D5D9F" w:rsidRPr="001D5D9F" w:rsidRDefault="001D5D9F" w:rsidP="001D5D9F">
            <w:pPr>
              <w:spacing w:after="0" w:line="240" w:lineRule="auto"/>
              <w:jc w:val="right"/>
              <w:rPr>
                <w:rFonts w:ascii="Lato" w:eastAsia="Times New Roman" w:hAnsi="Lato" w:cs="Calibri"/>
                <w:color w:val="000000"/>
                <w:sz w:val="18"/>
                <w:szCs w:val="18"/>
                <w:lang w:eastAsia="en-CA"/>
              </w:rPr>
            </w:pPr>
            <w:r w:rsidRPr="001D5D9F">
              <w:rPr>
                <w:rFonts w:ascii="Lato" w:eastAsia="Times New Roman" w:hAnsi="Lato" w:cs="Calibri"/>
                <w:color w:val="000000"/>
                <w:sz w:val="18"/>
                <w:szCs w:val="18"/>
                <w:lang w:eastAsia="en-CA"/>
              </w:rPr>
              <w:t>624,627</w:t>
            </w:r>
          </w:p>
        </w:tc>
        <w:tc>
          <w:tcPr>
            <w:tcW w:w="1400" w:type="dxa"/>
            <w:tcBorders>
              <w:top w:val="nil"/>
              <w:left w:val="nil"/>
              <w:bottom w:val="nil"/>
              <w:right w:val="nil"/>
            </w:tcBorders>
            <w:shd w:val="clear" w:color="auto" w:fill="auto"/>
            <w:noWrap/>
            <w:hideMark/>
          </w:tcPr>
          <w:p w14:paraId="39E035C6" w14:textId="77777777" w:rsidR="001D5D9F" w:rsidRPr="001D5D9F" w:rsidRDefault="001D5D9F" w:rsidP="001D5D9F">
            <w:pPr>
              <w:spacing w:after="0" w:line="240" w:lineRule="auto"/>
              <w:rPr>
                <w:rFonts w:ascii="Lato" w:eastAsia="Times New Roman" w:hAnsi="Lato" w:cs="Calibri"/>
                <w:color w:val="000000"/>
                <w:sz w:val="16"/>
                <w:szCs w:val="16"/>
                <w:lang w:eastAsia="en-CA"/>
              </w:rPr>
            </w:pPr>
            <w:r w:rsidRPr="001D5D9F">
              <w:rPr>
                <w:rFonts w:ascii="Lato" w:eastAsia="Times New Roman" w:hAnsi="Lato" w:cs="Calibri"/>
                <w:color w:val="000000"/>
                <w:sz w:val="16"/>
                <w:szCs w:val="16"/>
                <w:lang w:eastAsia="en-CA"/>
              </w:rPr>
              <w:t>Note 12</w:t>
            </w:r>
          </w:p>
        </w:tc>
      </w:tr>
      <w:tr w:rsidR="001D5D9F" w:rsidRPr="001D5D9F" w14:paraId="6EC93D33"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490FED12" w14:textId="77777777" w:rsidR="001D5D9F" w:rsidRPr="001D5D9F" w:rsidRDefault="001D5D9F" w:rsidP="001D5D9F">
            <w:pPr>
              <w:spacing w:after="0" w:line="240" w:lineRule="auto"/>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Other Expenses Category Total</w:t>
            </w:r>
          </w:p>
        </w:tc>
        <w:tc>
          <w:tcPr>
            <w:tcW w:w="1400" w:type="dxa"/>
            <w:tcBorders>
              <w:top w:val="nil"/>
              <w:left w:val="single" w:sz="4" w:space="0" w:color="auto"/>
              <w:bottom w:val="single" w:sz="4" w:space="0" w:color="auto"/>
              <w:right w:val="single" w:sz="4" w:space="0" w:color="auto"/>
            </w:tcBorders>
            <w:shd w:val="clear" w:color="auto" w:fill="auto"/>
            <w:hideMark/>
          </w:tcPr>
          <w:p w14:paraId="0306A83B" w14:textId="77777777" w:rsidR="001D5D9F" w:rsidRPr="001D5D9F" w:rsidRDefault="001D5D9F" w:rsidP="001D5D9F">
            <w:pPr>
              <w:spacing w:after="0" w:line="240" w:lineRule="auto"/>
              <w:jc w:val="right"/>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1,032,299</w:t>
            </w:r>
          </w:p>
        </w:tc>
        <w:tc>
          <w:tcPr>
            <w:tcW w:w="1400" w:type="dxa"/>
            <w:tcBorders>
              <w:top w:val="nil"/>
              <w:left w:val="single" w:sz="4" w:space="0" w:color="auto"/>
              <w:bottom w:val="single" w:sz="4" w:space="0" w:color="auto"/>
              <w:right w:val="single" w:sz="4" w:space="0" w:color="auto"/>
            </w:tcBorders>
            <w:shd w:val="clear" w:color="auto" w:fill="auto"/>
            <w:hideMark/>
          </w:tcPr>
          <w:p w14:paraId="317086FF" w14:textId="77777777" w:rsidR="001D5D9F" w:rsidRPr="001D5D9F" w:rsidRDefault="001D5D9F" w:rsidP="001D5D9F">
            <w:pPr>
              <w:spacing w:after="0" w:line="240" w:lineRule="auto"/>
              <w:jc w:val="right"/>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2,514,983</w:t>
            </w:r>
          </w:p>
        </w:tc>
        <w:tc>
          <w:tcPr>
            <w:tcW w:w="1400" w:type="dxa"/>
            <w:tcBorders>
              <w:top w:val="nil"/>
              <w:left w:val="nil"/>
              <w:bottom w:val="nil"/>
              <w:right w:val="nil"/>
            </w:tcBorders>
            <w:shd w:val="clear" w:color="auto" w:fill="auto"/>
            <w:hideMark/>
          </w:tcPr>
          <w:p w14:paraId="44F7BAE2" w14:textId="77777777" w:rsidR="001D5D9F" w:rsidRPr="001D5D9F" w:rsidRDefault="001D5D9F" w:rsidP="001D5D9F">
            <w:pPr>
              <w:spacing w:after="0" w:line="240" w:lineRule="auto"/>
              <w:jc w:val="right"/>
              <w:rPr>
                <w:rFonts w:ascii="Lato" w:eastAsia="Times New Roman" w:hAnsi="Lato" w:cs="Calibri"/>
                <w:b/>
                <w:bCs/>
                <w:color w:val="000000"/>
                <w:sz w:val="18"/>
                <w:szCs w:val="18"/>
                <w:lang w:eastAsia="en-CA"/>
              </w:rPr>
            </w:pPr>
          </w:p>
        </w:tc>
      </w:tr>
      <w:tr w:rsidR="001D5D9F" w:rsidRPr="001D5D9F" w14:paraId="1EE7F706" w14:textId="77777777" w:rsidTr="001D5D9F">
        <w:trPr>
          <w:trHeight w:val="330"/>
        </w:trPr>
        <w:tc>
          <w:tcPr>
            <w:tcW w:w="4820" w:type="dxa"/>
            <w:tcBorders>
              <w:top w:val="nil"/>
              <w:left w:val="single" w:sz="4" w:space="0" w:color="000000"/>
              <w:bottom w:val="single" w:sz="4" w:space="0" w:color="000000"/>
              <w:right w:val="single" w:sz="4" w:space="0" w:color="000000"/>
            </w:tcBorders>
            <w:shd w:val="clear" w:color="000000" w:fill="FFFFFF"/>
            <w:hideMark/>
          </w:tcPr>
          <w:p w14:paraId="393DCA35" w14:textId="77777777" w:rsidR="001D5D9F" w:rsidRPr="001D5D9F" w:rsidRDefault="001D5D9F" w:rsidP="001D5D9F">
            <w:pPr>
              <w:spacing w:after="0" w:line="240" w:lineRule="auto"/>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Total Expenses Category</w:t>
            </w:r>
          </w:p>
        </w:tc>
        <w:tc>
          <w:tcPr>
            <w:tcW w:w="1400" w:type="dxa"/>
            <w:tcBorders>
              <w:top w:val="nil"/>
              <w:left w:val="single" w:sz="4" w:space="0" w:color="auto"/>
              <w:bottom w:val="single" w:sz="4" w:space="0" w:color="auto"/>
              <w:right w:val="single" w:sz="4" w:space="0" w:color="auto"/>
            </w:tcBorders>
            <w:shd w:val="clear" w:color="auto" w:fill="auto"/>
            <w:hideMark/>
          </w:tcPr>
          <w:p w14:paraId="128336B0" w14:textId="77777777" w:rsidR="001D5D9F" w:rsidRPr="001D5D9F" w:rsidRDefault="001D5D9F" w:rsidP="001D5D9F">
            <w:pPr>
              <w:spacing w:after="0" w:line="240" w:lineRule="auto"/>
              <w:jc w:val="right"/>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108,204,373</w:t>
            </w:r>
          </w:p>
        </w:tc>
        <w:tc>
          <w:tcPr>
            <w:tcW w:w="1400" w:type="dxa"/>
            <w:tcBorders>
              <w:top w:val="nil"/>
              <w:left w:val="single" w:sz="4" w:space="0" w:color="auto"/>
              <w:bottom w:val="single" w:sz="4" w:space="0" w:color="auto"/>
              <w:right w:val="single" w:sz="4" w:space="0" w:color="auto"/>
            </w:tcBorders>
            <w:shd w:val="clear" w:color="auto" w:fill="auto"/>
            <w:hideMark/>
          </w:tcPr>
          <w:p w14:paraId="4ED5B2D6" w14:textId="77777777" w:rsidR="001D5D9F" w:rsidRPr="001D5D9F" w:rsidRDefault="001D5D9F" w:rsidP="001D5D9F">
            <w:pPr>
              <w:spacing w:after="0" w:line="240" w:lineRule="auto"/>
              <w:jc w:val="right"/>
              <w:rPr>
                <w:rFonts w:ascii="Lato" w:eastAsia="Times New Roman" w:hAnsi="Lato" w:cs="Calibri"/>
                <w:b/>
                <w:bCs/>
                <w:color w:val="000000"/>
                <w:sz w:val="18"/>
                <w:szCs w:val="18"/>
                <w:lang w:eastAsia="en-CA"/>
              </w:rPr>
            </w:pPr>
            <w:r w:rsidRPr="001D5D9F">
              <w:rPr>
                <w:rFonts w:ascii="Lato" w:eastAsia="Times New Roman" w:hAnsi="Lato" w:cs="Calibri"/>
                <w:b/>
                <w:bCs/>
                <w:color w:val="000000"/>
                <w:sz w:val="18"/>
                <w:szCs w:val="18"/>
                <w:lang w:eastAsia="en-CA"/>
              </w:rPr>
              <w:t>107,560,309</w:t>
            </w:r>
          </w:p>
        </w:tc>
        <w:tc>
          <w:tcPr>
            <w:tcW w:w="1400" w:type="dxa"/>
            <w:tcBorders>
              <w:top w:val="nil"/>
              <w:left w:val="nil"/>
              <w:bottom w:val="nil"/>
              <w:right w:val="nil"/>
            </w:tcBorders>
            <w:shd w:val="clear" w:color="auto" w:fill="auto"/>
            <w:hideMark/>
          </w:tcPr>
          <w:p w14:paraId="773A9EB8" w14:textId="77777777" w:rsidR="001D5D9F" w:rsidRPr="001D5D9F" w:rsidRDefault="001D5D9F" w:rsidP="001D5D9F">
            <w:pPr>
              <w:spacing w:after="0" w:line="240" w:lineRule="auto"/>
              <w:jc w:val="right"/>
              <w:rPr>
                <w:rFonts w:ascii="Lato" w:eastAsia="Times New Roman" w:hAnsi="Lato" w:cs="Calibri"/>
                <w:b/>
                <w:bCs/>
                <w:color w:val="000000"/>
                <w:sz w:val="18"/>
                <w:szCs w:val="18"/>
                <w:lang w:eastAsia="en-CA"/>
              </w:rPr>
            </w:pPr>
          </w:p>
        </w:tc>
      </w:tr>
    </w:tbl>
    <w:p w14:paraId="6698D6FF" w14:textId="6D8EF77F" w:rsidR="00574766" w:rsidRDefault="00F841CC" w:rsidP="00126820">
      <w:pPr>
        <w:pStyle w:val="NoSpacing"/>
        <w:rPr>
          <w:rFonts w:asciiTheme="minorHAnsi" w:eastAsiaTheme="minorHAnsi" w:hAnsiTheme="minorHAnsi" w:cstheme="minorBidi"/>
        </w:rPr>
      </w:pPr>
      <w:r>
        <w:rPr>
          <w:noProof/>
        </w:rPr>
        <w:fldChar w:fldCharType="begin"/>
      </w:r>
      <w:r>
        <w:rPr>
          <w:noProof/>
        </w:rPr>
        <w:instrText xml:space="preserve"> LINK Excel.Sheet.12 "https://sudburycatholicschools-my.sharepoint.com/personal/corallc_sudburycatholicschools_ca/Documents/Budget%202021-22/2021%202022%20Estimates/Schedule%2010%20-%20Detailed%20Summary.xlsx" "Schedule 101 (2)!R6C2:R53C13" \a \f 4 \h </w:instrText>
      </w:r>
      <w:r>
        <w:rPr>
          <w:noProof/>
        </w:rPr>
        <w:fldChar w:fldCharType="separate"/>
      </w:r>
    </w:p>
    <w:p w14:paraId="5C47BC74" w14:textId="312FF487" w:rsidR="00126820" w:rsidRDefault="00F841CC" w:rsidP="00126820">
      <w:pPr>
        <w:pStyle w:val="NoSpacing"/>
      </w:pPr>
      <w:r>
        <w:rPr>
          <w:noProof/>
        </w:rPr>
        <w:fldChar w:fldCharType="end"/>
      </w:r>
    </w:p>
    <w:p w14:paraId="723BA328" w14:textId="352A76E5" w:rsidR="00D414CB" w:rsidRPr="00D01A1B" w:rsidRDefault="00D01A1B" w:rsidP="00DD1107">
      <w:pPr>
        <w:pStyle w:val="Heading2"/>
      </w:pPr>
      <w:bookmarkStart w:id="17" w:name="_Toc104628865"/>
      <w:r w:rsidRPr="00D01A1B">
        <w:t>Explanations of Variance</w:t>
      </w:r>
      <w:r w:rsidR="00E93D62">
        <w:t>s</w:t>
      </w:r>
      <w:bookmarkEnd w:id="17"/>
    </w:p>
    <w:p w14:paraId="14414943" w14:textId="77777777" w:rsidR="00D414CB" w:rsidRDefault="00D414CB" w:rsidP="00635C08">
      <w:pPr>
        <w:pStyle w:val="NoSpacing"/>
      </w:pPr>
    </w:p>
    <w:p w14:paraId="4203A5B3" w14:textId="40E1CBA0" w:rsidR="004846EC" w:rsidRDefault="004D3FE1" w:rsidP="004A5F2A">
      <w:pPr>
        <w:pStyle w:val="NoSpacing"/>
        <w:rPr>
          <w:rFonts w:asciiTheme="majorHAnsi" w:hAnsiTheme="majorHAnsi" w:cstheme="majorHAnsi"/>
          <w:sz w:val="24"/>
          <w:szCs w:val="24"/>
          <w:u w:val="single"/>
          <w:lang w:val="en-US"/>
        </w:rPr>
      </w:pPr>
      <w:r w:rsidRPr="008D4DEE">
        <w:rPr>
          <w:rFonts w:asciiTheme="majorHAnsi" w:hAnsiTheme="majorHAnsi" w:cstheme="majorHAnsi"/>
          <w:b/>
          <w:bCs/>
          <w:sz w:val="24"/>
          <w:szCs w:val="24"/>
          <w:u w:val="single"/>
          <w:lang w:val="en-US"/>
        </w:rPr>
        <w:t>Note 1</w:t>
      </w:r>
      <w:r w:rsidRPr="00066A9C">
        <w:rPr>
          <w:rFonts w:asciiTheme="majorHAnsi" w:hAnsiTheme="majorHAnsi" w:cstheme="majorHAnsi"/>
          <w:sz w:val="24"/>
          <w:szCs w:val="24"/>
          <w:u w:val="single"/>
          <w:lang w:val="en-US"/>
        </w:rPr>
        <w:t>: Instruction</w:t>
      </w:r>
    </w:p>
    <w:p w14:paraId="314D7D63" w14:textId="77777777" w:rsidR="00E10CC5" w:rsidRPr="00066A9C" w:rsidRDefault="00E10CC5" w:rsidP="004A5F2A">
      <w:pPr>
        <w:pStyle w:val="NoSpacing"/>
        <w:rPr>
          <w:rFonts w:asciiTheme="majorHAnsi" w:hAnsiTheme="majorHAnsi" w:cstheme="majorHAnsi"/>
          <w:sz w:val="24"/>
          <w:szCs w:val="24"/>
          <w:u w:val="single"/>
          <w:lang w:val="en-US"/>
        </w:rPr>
      </w:pPr>
    </w:p>
    <w:p w14:paraId="7DD15A56" w14:textId="79D59BD0" w:rsidR="00CD7EA9" w:rsidRPr="00500698" w:rsidRDefault="00E10CC5" w:rsidP="004A5F2A">
      <w:pPr>
        <w:pStyle w:val="NoSpacing"/>
        <w:rPr>
          <w:rFonts w:asciiTheme="majorHAnsi" w:hAnsiTheme="majorHAnsi" w:cstheme="majorHAnsi"/>
          <w:lang w:val="en-US"/>
        </w:rPr>
      </w:pPr>
      <w:r>
        <w:rPr>
          <w:noProof/>
        </w:rPr>
        <w:drawing>
          <wp:inline distT="0" distB="0" distL="0" distR="0" wp14:anchorId="12C764BD" wp14:editId="1AFDA1E1">
            <wp:extent cx="5924550" cy="2790825"/>
            <wp:effectExtent l="0" t="0" r="0" b="9525"/>
            <wp:docPr id="16" name="Chart 16">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DF7DA9E" w14:textId="7E121B69" w:rsidR="0044247C" w:rsidRDefault="0044247C" w:rsidP="004A5F2A">
      <w:pPr>
        <w:pStyle w:val="NoSpacing"/>
        <w:rPr>
          <w:rFonts w:asciiTheme="majorHAnsi" w:hAnsiTheme="majorHAnsi" w:cstheme="majorHAnsi"/>
          <w:u w:val="single"/>
          <w:lang w:val="en-US"/>
        </w:rPr>
      </w:pPr>
    </w:p>
    <w:p w14:paraId="4FAE7342" w14:textId="6B1049D8" w:rsidR="00102532" w:rsidRPr="0066594E" w:rsidRDefault="00102532" w:rsidP="004D3FE1">
      <w:pPr>
        <w:pStyle w:val="NoSpacing"/>
        <w:numPr>
          <w:ilvl w:val="0"/>
          <w:numId w:val="28"/>
        </w:numPr>
        <w:rPr>
          <w:rFonts w:asciiTheme="majorHAnsi" w:hAnsiTheme="majorHAnsi" w:cstheme="majorHAnsi"/>
          <w:sz w:val="24"/>
          <w:szCs w:val="24"/>
          <w:u w:val="single"/>
          <w:lang w:val="en-US"/>
        </w:rPr>
      </w:pPr>
      <w:r w:rsidRPr="0066594E">
        <w:rPr>
          <w:rFonts w:asciiTheme="majorHAnsi" w:hAnsiTheme="majorHAnsi" w:cstheme="majorHAnsi"/>
          <w:sz w:val="24"/>
          <w:szCs w:val="24"/>
          <w:lang w:val="en-US"/>
        </w:rPr>
        <w:t>Early Childhood Educators are hired at a level directly related to the number of FDK classes with enrolment greater than 15.</w:t>
      </w:r>
      <w:r w:rsidR="00B93CF2" w:rsidRPr="0066594E">
        <w:rPr>
          <w:rFonts w:asciiTheme="majorHAnsi" w:hAnsiTheme="majorHAnsi" w:cstheme="majorHAnsi"/>
          <w:sz w:val="24"/>
          <w:szCs w:val="24"/>
          <w:lang w:val="en-US"/>
        </w:rPr>
        <w:t xml:space="preserve"> </w:t>
      </w:r>
      <w:r w:rsidR="00DE2958" w:rsidRPr="0066594E">
        <w:rPr>
          <w:rFonts w:asciiTheme="majorHAnsi" w:hAnsiTheme="majorHAnsi" w:cstheme="majorHAnsi"/>
          <w:sz w:val="24"/>
          <w:szCs w:val="24"/>
          <w:lang w:val="en-US"/>
        </w:rPr>
        <w:t xml:space="preserve"> For 2022-23 the projected requirement</w:t>
      </w:r>
      <w:r w:rsidR="007F6054" w:rsidRPr="0066594E">
        <w:rPr>
          <w:rFonts w:asciiTheme="majorHAnsi" w:hAnsiTheme="majorHAnsi" w:cstheme="majorHAnsi"/>
          <w:sz w:val="24"/>
          <w:szCs w:val="24"/>
          <w:lang w:val="en-US"/>
        </w:rPr>
        <w:t xml:space="preserve"> for ECEs is </w:t>
      </w:r>
      <w:r w:rsidR="00B93CF2" w:rsidRPr="0066594E">
        <w:rPr>
          <w:rFonts w:asciiTheme="majorHAnsi" w:hAnsiTheme="majorHAnsi" w:cstheme="majorHAnsi"/>
          <w:sz w:val="24"/>
          <w:szCs w:val="24"/>
          <w:lang w:val="en-US"/>
        </w:rPr>
        <w:t xml:space="preserve">16 English and 13 </w:t>
      </w:r>
      <w:r w:rsidR="00DE2958" w:rsidRPr="0066594E">
        <w:rPr>
          <w:rFonts w:asciiTheme="majorHAnsi" w:hAnsiTheme="majorHAnsi" w:cstheme="majorHAnsi"/>
          <w:sz w:val="24"/>
          <w:szCs w:val="24"/>
          <w:lang w:val="en-US"/>
        </w:rPr>
        <w:t>French</w:t>
      </w:r>
      <w:r w:rsidR="0097631F" w:rsidRPr="0066594E">
        <w:rPr>
          <w:rFonts w:asciiTheme="majorHAnsi" w:hAnsiTheme="majorHAnsi" w:cstheme="majorHAnsi"/>
          <w:sz w:val="24"/>
          <w:szCs w:val="24"/>
          <w:lang w:val="en-US"/>
        </w:rPr>
        <w:t>, a decrease of 1 Fre</w:t>
      </w:r>
      <w:r w:rsidR="00C834BC" w:rsidRPr="0066594E">
        <w:rPr>
          <w:rFonts w:asciiTheme="majorHAnsi" w:hAnsiTheme="majorHAnsi" w:cstheme="majorHAnsi"/>
          <w:sz w:val="24"/>
          <w:szCs w:val="24"/>
          <w:lang w:val="en-US"/>
        </w:rPr>
        <w:t>n</w:t>
      </w:r>
      <w:r w:rsidR="0097631F" w:rsidRPr="0066594E">
        <w:rPr>
          <w:rFonts w:asciiTheme="majorHAnsi" w:hAnsiTheme="majorHAnsi" w:cstheme="majorHAnsi"/>
          <w:sz w:val="24"/>
          <w:szCs w:val="24"/>
          <w:lang w:val="en-US"/>
        </w:rPr>
        <w:t>ch ECE</w:t>
      </w:r>
      <w:r w:rsidR="00C834BC" w:rsidRPr="0066594E">
        <w:rPr>
          <w:rFonts w:asciiTheme="majorHAnsi" w:hAnsiTheme="majorHAnsi" w:cstheme="majorHAnsi"/>
          <w:sz w:val="24"/>
          <w:szCs w:val="24"/>
          <w:lang w:val="en-US"/>
        </w:rPr>
        <w:t>.</w:t>
      </w:r>
    </w:p>
    <w:p w14:paraId="69985422" w14:textId="45286802" w:rsidR="00C834BC" w:rsidRPr="0066594E" w:rsidRDefault="00C834BC" w:rsidP="00C834BC">
      <w:pPr>
        <w:pStyle w:val="NoSpacing"/>
        <w:numPr>
          <w:ilvl w:val="0"/>
          <w:numId w:val="28"/>
        </w:numPr>
        <w:rPr>
          <w:rFonts w:asciiTheme="majorHAnsi" w:eastAsia="Times" w:hAnsiTheme="majorHAnsi" w:cstheme="majorHAnsi"/>
          <w:sz w:val="24"/>
          <w:szCs w:val="24"/>
          <w:lang w:val="en-US"/>
        </w:rPr>
      </w:pPr>
      <w:r w:rsidRPr="0066594E">
        <w:rPr>
          <w:rFonts w:asciiTheme="majorHAnsi" w:eastAsia="Times" w:hAnsiTheme="majorHAnsi" w:cstheme="majorHAnsi"/>
          <w:sz w:val="24"/>
          <w:szCs w:val="24"/>
          <w:lang w:val="en-US"/>
        </w:rPr>
        <w:t xml:space="preserve">The average supply costs for the years 2014-15 to 2018-19 was $1,887,201.  The actual supply costs for 2019-20 were $1,730,486 (In-person learning was shut down from the middle of March to the end of the school year due to COVID-19) and for 2020-21 were $3,619,012 (a full year of COVID-19 impacts).  To the end of April 2021-22, the cost of supply is $2,617,878.  Based on this information the 2022-23 projected supply costs are $3,185,113, which is significantly greater than the previous average by </w:t>
      </w:r>
      <w:r w:rsidR="0066594E" w:rsidRPr="0066594E">
        <w:rPr>
          <w:rFonts w:asciiTheme="majorHAnsi" w:eastAsia="Times" w:hAnsiTheme="majorHAnsi" w:cstheme="majorHAnsi"/>
          <w:sz w:val="24"/>
          <w:szCs w:val="24"/>
          <w:lang w:val="en-US"/>
        </w:rPr>
        <w:t>approximately</w:t>
      </w:r>
      <w:r w:rsidRPr="0066594E">
        <w:rPr>
          <w:rFonts w:asciiTheme="majorHAnsi" w:eastAsia="Times" w:hAnsiTheme="majorHAnsi" w:cstheme="majorHAnsi"/>
          <w:sz w:val="24"/>
          <w:szCs w:val="24"/>
          <w:lang w:val="en-US"/>
        </w:rPr>
        <w:t xml:space="preserve"> $1.3 million. Funding for supply costs is part of the Pupil Foundation Grant </w:t>
      </w:r>
      <w:r w:rsidR="00670B36">
        <w:rPr>
          <w:rFonts w:asciiTheme="majorHAnsi" w:eastAsia="Times" w:hAnsiTheme="majorHAnsi" w:cstheme="majorHAnsi"/>
          <w:sz w:val="24"/>
          <w:szCs w:val="24"/>
          <w:lang w:val="en-US"/>
        </w:rPr>
        <w:t>which</w:t>
      </w:r>
      <w:r w:rsidRPr="0066594E">
        <w:rPr>
          <w:rFonts w:asciiTheme="majorHAnsi" w:eastAsia="Times" w:hAnsiTheme="majorHAnsi" w:cstheme="majorHAnsi"/>
          <w:sz w:val="24"/>
          <w:szCs w:val="24"/>
          <w:lang w:val="en-US"/>
        </w:rPr>
        <w:t xml:space="preserve"> totals $986,934</w:t>
      </w:r>
      <w:r w:rsidR="00670B36">
        <w:rPr>
          <w:rFonts w:asciiTheme="majorHAnsi" w:eastAsia="Times" w:hAnsiTheme="majorHAnsi" w:cstheme="majorHAnsi"/>
          <w:sz w:val="24"/>
          <w:szCs w:val="24"/>
          <w:lang w:val="en-US"/>
        </w:rPr>
        <w:t xml:space="preserve">, resulting in a </w:t>
      </w:r>
      <w:r w:rsidR="00676D63">
        <w:rPr>
          <w:rFonts w:asciiTheme="majorHAnsi" w:eastAsia="Times" w:hAnsiTheme="majorHAnsi" w:cstheme="majorHAnsi"/>
          <w:sz w:val="24"/>
          <w:szCs w:val="24"/>
          <w:lang w:val="en-US"/>
        </w:rPr>
        <w:t xml:space="preserve">projected </w:t>
      </w:r>
      <w:r w:rsidR="00670B36">
        <w:rPr>
          <w:rFonts w:asciiTheme="majorHAnsi" w:eastAsia="Times" w:hAnsiTheme="majorHAnsi" w:cstheme="majorHAnsi"/>
          <w:sz w:val="24"/>
          <w:szCs w:val="24"/>
          <w:lang w:val="en-US"/>
        </w:rPr>
        <w:t>shortfall of</w:t>
      </w:r>
      <w:r w:rsidR="00FA48CF">
        <w:rPr>
          <w:rFonts w:asciiTheme="majorHAnsi" w:eastAsia="Times" w:hAnsiTheme="majorHAnsi" w:cstheme="majorHAnsi"/>
          <w:sz w:val="24"/>
          <w:szCs w:val="24"/>
          <w:lang w:val="en-US"/>
        </w:rPr>
        <w:t xml:space="preserve"> $2,198,179</w:t>
      </w:r>
      <w:r w:rsidR="00676D63">
        <w:rPr>
          <w:rFonts w:asciiTheme="majorHAnsi" w:eastAsia="Times" w:hAnsiTheme="majorHAnsi" w:cstheme="majorHAnsi"/>
          <w:sz w:val="24"/>
          <w:szCs w:val="24"/>
          <w:lang w:val="en-US"/>
        </w:rPr>
        <w:t xml:space="preserve"> for 2022-23</w:t>
      </w:r>
    </w:p>
    <w:p w14:paraId="5ACA39B6" w14:textId="0D4C8FBF" w:rsidR="00102532" w:rsidRPr="005D61D3" w:rsidRDefault="00102532" w:rsidP="004D3FE1">
      <w:pPr>
        <w:pStyle w:val="NoSpacing"/>
        <w:numPr>
          <w:ilvl w:val="0"/>
          <w:numId w:val="28"/>
        </w:numPr>
        <w:rPr>
          <w:rFonts w:asciiTheme="majorHAnsi" w:hAnsiTheme="majorHAnsi" w:cstheme="majorHAnsi"/>
          <w:sz w:val="24"/>
          <w:szCs w:val="24"/>
          <w:u w:val="single"/>
          <w:lang w:val="en-US"/>
        </w:rPr>
      </w:pPr>
      <w:r w:rsidRPr="005D61D3">
        <w:rPr>
          <w:rFonts w:asciiTheme="majorHAnsi" w:hAnsiTheme="majorHAnsi" w:cstheme="majorHAnsi"/>
          <w:sz w:val="24"/>
          <w:szCs w:val="24"/>
          <w:lang w:val="en-US"/>
        </w:rPr>
        <w:t xml:space="preserve">Classroom </w:t>
      </w:r>
      <w:r w:rsidR="00B15DFB" w:rsidRPr="005D61D3">
        <w:rPr>
          <w:rFonts w:asciiTheme="majorHAnsi" w:hAnsiTheme="majorHAnsi" w:cstheme="majorHAnsi"/>
          <w:sz w:val="24"/>
          <w:szCs w:val="24"/>
          <w:lang w:val="en-US"/>
        </w:rPr>
        <w:t>teachers’</w:t>
      </w:r>
      <w:r w:rsidRPr="005D61D3">
        <w:rPr>
          <w:rFonts w:asciiTheme="majorHAnsi" w:hAnsiTheme="majorHAnsi" w:cstheme="majorHAnsi"/>
          <w:sz w:val="24"/>
          <w:szCs w:val="24"/>
          <w:lang w:val="en-US"/>
        </w:rPr>
        <w:t xml:space="preserve"> </w:t>
      </w:r>
      <w:r w:rsidR="00D27040" w:rsidRPr="005D61D3">
        <w:rPr>
          <w:rFonts w:asciiTheme="majorHAnsi" w:hAnsiTheme="majorHAnsi" w:cstheme="majorHAnsi"/>
          <w:sz w:val="24"/>
          <w:szCs w:val="24"/>
          <w:lang w:val="en-US"/>
        </w:rPr>
        <w:t>budget</w:t>
      </w:r>
      <w:r w:rsidR="004D68DD" w:rsidRPr="005D61D3">
        <w:rPr>
          <w:rFonts w:asciiTheme="majorHAnsi" w:hAnsiTheme="majorHAnsi" w:cstheme="majorHAnsi"/>
          <w:sz w:val="24"/>
          <w:szCs w:val="24"/>
          <w:lang w:val="en-US"/>
        </w:rPr>
        <w:t xml:space="preserve"> decrease</w:t>
      </w:r>
      <w:r w:rsidR="002D23A1" w:rsidRPr="005D61D3">
        <w:rPr>
          <w:rFonts w:asciiTheme="majorHAnsi" w:hAnsiTheme="majorHAnsi" w:cstheme="majorHAnsi"/>
          <w:sz w:val="24"/>
          <w:szCs w:val="24"/>
          <w:lang w:val="en-US"/>
        </w:rPr>
        <w:t xml:space="preserve"> from revised as the boards have not been in receipt of the level of PPF funding for teacher costs that it received in 202</w:t>
      </w:r>
      <w:r w:rsidR="0066594E" w:rsidRPr="005D61D3">
        <w:rPr>
          <w:rFonts w:asciiTheme="majorHAnsi" w:hAnsiTheme="majorHAnsi" w:cstheme="majorHAnsi"/>
          <w:sz w:val="24"/>
          <w:szCs w:val="24"/>
          <w:lang w:val="en-US"/>
        </w:rPr>
        <w:t>1</w:t>
      </w:r>
      <w:r w:rsidR="002D23A1" w:rsidRPr="005D61D3">
        <w:rPr>
          <w:rFonts w:asciiTheme="majorHAnsi" w:hAnsiTheme="majorHAnsi" w:cstheme="majorHAnsi"/>
          <w:sz w:val="24"/>
          <w:szCs w:val="24"/>
          <w:lang w:val="en-US"/>
        </w:rPr>
        <w:t>-2</w:t>
      </w:r>
      <w:r w:rsidR="0066594E" w:rsidRPr="005D61D3">
        <w:rPr>
          <w:rFonts w:asciiTheme="majorHAnsi" w:hAnsiTheme="majorHAnsi" w:cstheme="majorHAnsi"/>
          <w:sz w:val="24"/>
          <w:szCs w:val="24"/>
          <w:lang w:val="en-US"/>
        </w:rPr>
        <w:t>2</w:t>
      </w:r>
      <w:r w:rsidR="008D3BDA" w:rsidRPr="005D61D3">
        <w:rPr>
          <w:rFonts w:asciiTheme="majorHAnsi" w:hAnsiTheme="majorHAnsi" w:cstheme="majorHAnsi"/>
          <w:sz w:val="24"/>
          <w:szCs w:val="24"/>
          <w:lang w:val="en-US"/>
        </w:rPr>
        <w:t>.</w:t>
      </w:r>
      <w:r w:rsidR="0019577A" w:rsidRPr="005D61D3">
        <w:rPr>
          <w:rFonts w:asciiTheme="majorHAnsi" w:hAnsiTheme="majorHAnsi" w:cstheme="majorHAnsi"/>
          <w:sz w:val="24"/>
          <w:szCs w:val="24"/>
          <w:lang w:val="en-US"/>
        </w:rPr>
        <w:t xml:space="preserve"> </w:t>
      </w:r>
      <w:r w:rsidR="008E5F43" w:rsidRPr="005D61D3">
        <w:rPr>
          <w:rFonts w:asciiTheme="majorHAnsi" w:hAnsiTheme="majorHAnsi" w:cstheme="majorHAnsi"/>
          <w:sz w:val="24"/>
          <w:szCs w:val="24"/>
          <w:lang w:val="en-US"/>
        </w:rPr>
        <w:t xml:space="preserve">The ministry has directed boards that remote learning options are to be provided to students </w:t>
      </w:r>
      <w:r w:rsidR="008E5F43" w:rsidRPr="005D61D3">
        <w:rPr>
          <w:rFonts w:asciiTheme="majorHAnsi" w:hAnsiTheme="majorHAnsi" w:cstheme="majorHAnsi"/>
          <w:sz w:val="24"/>
          <w:szCs w:val="24"/>
          <w:lang w:val="en-US"/>
        </w:rPr>
        <w:lastRenderedPageBreak/>
        <w:t>however</w:t>
      </w:r>
      <w:r w:rsidR="00CA2654" w:rsidRPr="005D61D3">
        <w:rPr>
          <w:rFonts w:asciiTheme="majorHAnsi" w:hAnsiTheme="majorHAnsi" w:cstheme="majorHAnsi"/>
          <w:sz w:val="24"/>
          <w:szCs w:val="24"/>
          <w:lang w:val="en-US"/>
        </w:rPr>
        <w:t xml:space="preserve"> the level of demand at Sudbury Catholic </w:t>
      </w:r>
      <w:r w:rsidR="00670B36">
        <w:rPr>
          <w:rFonts w:asciiTheme="majorHAnsi" w:hAnsiTheme="majorHAnsi" w:cstheme="majorHAnsi"/>
          <w:sz w:val="24"/>
          <w:szCs w:val="24"/>
          <w:lang w:val="en-US"/>
        </w:rPr>
        <w:t xml:space="preserve">is significantly lower than last year.  Remote school offerings have not yet been finalized. </w:t>
      </w:r>
      <w:r w:rsidR="001529A5" w:rsidRPr="005D61D3">
        <w:rPr>
          <w:rFonts w:asciiTheme="majorHAnsi" w:hAnsiTheme="majorHAnsi" w:cstheme="majorHAnsi"/>
          <w:sz w:val="24"/>
          <w:szCs w:val="24"/>
          <w:lang w:val="en-US"/>
        </w:rPr>
        <w:t xml:space="preserve">The decrease in classroom teachers is expected to be </w:t>
      </w:r>
      <w:r w:rsidR="002B4763" w:rsidRPr="005D61D3">
        <w:rPr>
          <w:rFonts w:asciiTheme="majorHAnsi" w:hAnsiTheme="majorHAnsi" w:cstheme="majorHAnsi"/>
          <w:sz w:val="24"/>
          <w:szCs w:val="24"/>
          <w:lang w:val="en-US"/>
        </w:rPr>
        <w:t>approximately 10 FTE.</w:t>
      </w:r>
      <w:r w:rsidR="003C3A17" w:rsidRPr="005D61D3">
        <w:rPr>
          <w:rFonts w:asciiTheme="majorHAnsi" w:hAnsiTheme="majorHAnsi" w:cstheme="majorHAnsi"/>
          <w:sz w:val="24"/>
          <w:szCs w:val="24"/>
          <w:lang w:val="en-US"/>
        </w:rPr>
        <w:t xml:space="preserve">  </w:t>
      </w:r>
      <w:r w:rsidR="00AE1D58" w:rsidRPr="005D61D3">
        <w:rPr>
          <w:rFonts w:asciiTheme="majorHAnsi" w:hAnsiTheme="majorHAnsi" w:cstheme="majorHAnsi"/>
          <w:sz w:val="24"/>
          <w:szCs w:val="24"/>
          <w:lang w:val="en-US"/>
        </w:rPr>
        <w:t>It is important to note that teacher staffing is not only based on projected enrolment but also on</w:t>
      </w:r>
      <w:r w:rsidR="005D61D3" w:rsidRPr="005D61D3">
        <w:rPr>
          <w:rFonts w:asciiTheme="majorHAnsi" w:hAnsiTheme="majorHAnsi" w:cstheme="majorHAnsi"/>
          <w:sz w:val="24"/>
          <w:szCs w:val="24"/>
          <w:lang w:val="en-US"/>
        </w:rPr>
        <w:t xml:space="preserve"> the distribution of students, especially in elementary between schools, grades, and programming streams.</w:t>
      </w:r>
    </w:p>
    <w:p w14:paraId="392892C6" w14:textId="64938BA5" w:rsidR="0088799E" w:rsidRDefault="0088799E" w:rsidP="0088799E">
      <w:pPr>
        <w:pStyle w:val="NoSpacing"/>
        <w:rPr>
          <w:rFonts w:asciiTheme="majorHAnsi" w:hAnsiTheme="majorHAnsi" w:cstheme="majorHAnsi"/>
          <w:sz w:val="24"/>
          <w:szCs w:val="24"/>
          <w:lang w:val="en-US"/>
        </w:rPr>
      </w:pPr>
    </w:p>
    <w:p w14:paraId="596B4DCB" w14:textId="510D2883" w:rsidR="00B15DFB" w:rsidRPr="00095135" w:rsidRDefault="00B15DFB" w:rsidP="00264EF4">
      <w:pPr>
        <w:pStyle w:val="Heading4"/>
        <w:rPr>
          <w:sz w:val="24"/>
          <w:szCs w:val="24"/>
          <w:lang w:val="en-US"/>
        </w:rPr>
      </w:pPr>
      <w:r w:rsidRPr="00095135">
        <w:rPr>
          <w:sz w:val="24"/>
          <w:szCs w:val="24"/>
          <w:lang w:val="en-US"/>
        </w:rPr>
        <w:t>Special Education</w:t>
      </w:r>
    </w:p>
    <w:tbl>
      <w:tblPr>
        <w:tblW w:w="9360" w:type="dxa"/>
        <w:tblLook w:val="04A0" w:firstRow="1" w:lastRow="0" w:firstColumn="1" w:lastColumn="0" w:noHBand="0" w:noVBand="1"/>
      </w:tblPr>
      <w:tblGrid>
        <w:gridCol w:w="5400"/>
        <w:gridCol w:w="1940"/>
        <w:gridCol w:w="2020"/>
      </w:tblGrid>
      <w:tr w:rsidR="00A331C3" w:rsidRPr="00A331C3" w14:paraId="3ED08D90" w14:textId="77777777" w:rsidTr="00710FB6">
        <w:trPr>
          <w:trHeight w:val="550"/>
        </w:trPr>
        <w:tc>
          <w:tcPr>
            <w:tcW w:w="5400" w:type="dxa"/>
            <w:tcBorders>
              <w:top w:val="nil"/>
              <w:left w:val="nil"/>
              <w:bottom w:val="nil"/>
              <w:right w:val="nil"/>
            </w:tcBorders>
            <w:shd w:val="clear" w:color="auto" w:fill="auto"/>
            <w:noWrap/>
            <w:vAlign w:val="bottom"/>
            <w:hideMark/>
          </w:tcPr>
          <w:p w14:paraId="786BCAF8" w14:textId="77777777" w:rsidR="00A331C3" w:rsidRPr="00A331C3" w:rsidRDefault="00A331C3" w:rsidP="00A331C3">
            <w:pPr>
              <w:spacing w:after="0" w:line="240" w:lineRule="auto"/>
              <w:rPr>
                <w:rFonts w:ascii="Times New Roman" w:eastAsia="Times New Roman" w:hAnsi="Times New Roman" w:cs="Times New Roman"/>
                <w:sz w:val="24"/>
                <w:szCs w:val="24"/>
                <w:lang w:eastAsia="en-CA"/>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567B10" w14:textId="1FBE6E75" w:rsidR="00A331C3" w:rsidRPr="00A331C3" w:rsidRDefault="00A331C3" w:rsidP="00A331C3">
            <w:pPr>
              <w:spacing w:after="0" w:line="240" w:lineRule="auto"/>
              <w:jc w:val="center"/>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 xml:space="preserve">2021-22      </w:t>
            </w:r>
            <w:r w:rsidRPr="00710FB6">
              <w:rPr>
                <w:rFonts w:ascii="Lato" w:eastAsia="Times New Roman" w:hAnsi="Lato" w:cs="Arial"/>
                <w:b/>
                <w:bCs/>
                <w:sz w:val="18"/>
                <w:szCs w:val="18"/>
                <w:lang w:eastAsia="en-CA"/>
              </w:rPr>
              <w:t xml:space="preserve">   </w:t>
            </w:r>
            <w:r w:rsidRPr="00A331C3">
              <w:rPr>
                <w:rFonts w:ascii="Lato" w:eastAsia="Times New Roman" w:hAnsi="Lato" w:cs="Arial"/>
                <w:b/>
                <w:bCs/>
                <w:sz w:val="18"/>
                <w:szCs w:val="18"/>
                <w:lang w:eastAsia="en-CA"/>
              </w:rPr>
              <w:t xml:space="preserve"> Revised</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42BBEF1A" w14:textId="3C67941F" w:rsidR="00A331C3" w:rsidRPr="00A331C3" w:rsidRDefault="00A331C3" w:rsidP="00A331C3">
            <w:pPr>
              <w:spacing w:after="0" w:line="240" w:lineRule="auto"/>
              <w:jc w:val="center"/>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 xml:space="preserve">2022-23   </w:t>
            </w:r>
            <w:r w:rsidRPr="00710FB6">
              <w:rPr>
                <w:rFonts w:ascii="Lato" w:eastAsia="Times New Roman" w:hAnsi="Lato" w:cs="Arial"/>
                <w:b/>
                <w:bCs/>
                <w:sz w:val="18"/>
                <w:szCs w:val="18"/>
                <w:lang w:eastAsia="en-CA"/>
              </w:rPr>
              <w:t xml:space="preserve">   </w:t>
            </w:r>
            <w:r w:rsidRPr="00A331C3">
              <w:rPr>
                <w:rFonts w:ascii="Lato" w:eastAsia="Times New Roman" w:hAnsi="Lato" w:cs="Arial"/>
                <w:b/>
                <w:bCs/>
                <w:sz w:val="18"/>
                <w:szCs w:val="18"/>
                <w:lang w:eastAsia="en-CA"/>
              </w:rPr>
              <w:t xml:space="preserve">  Estimates</w:t>
            </w:r>
          </w:p>
        </w:tc>
      </w:tr>
      <w:tr w:rsidR="00A331C3" w:rsidRPr="00A331C3" w14:paraId="77821B0C" w14:textId="77777777" w:rsidTr="00A331C3">
        <w:trPr>
          <w:trHeight w:val="330"/>
        </w:trPr>
        <w:tc>
          <w:tcPr>
            <w:tcW w:w="5400" w:type="dxa"/>
            <w:tcBorders>
              <w:top w:val="nil"/>
              <w:left w:val="nil"/>
              <w:bottom w:val="nil"/>
              <w:right w:val="nil"/>
            </w:tcBorders>
            <w:shd w:val="clear" w:color="auto" w:fill="auto"/>
            <w:noWrap/>
            <w:vAlign w:val="bottom"/>
            <w:hideMark/>
          </w:tcPr>
          <w:p w14:paraId="61D3B456" w14:textId="77777777" w:rsidR="00A331C3" w:rsidRPr="00A331C3" w:rsidRDefault="00A331C3" w:rsidP="00A331C3">
            <w:pPr>
              <w:spacing w:after="0" w:line="240" w:lineRule="auto"/>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Revenue</w:t>
            </w:r>
          </w:p>
        </w:tc>
        <w:tc>
          <w:tcPr>
            <w:tcW w:w="1940" w:type="dxa"/>
            <w:tcBorders>
              <w:top w:val="nil"/>
              <w:left w:val="nil"/>
              <w:bottom w:val="nil"/>
              <w:right w:val="nil"/>
            </w:tcBorders>
            <w:shd w:val="clear" w:color="auto" w:fill="auto"/>
            <w:noWrap/>
            <w:vAlign w:val="bottom"/>
            <w:hideMark/>
          </w:tcPr>
          <w:p w14:paraId="11BA3E15" w14:textId="77777777" w:rsidR="00A331C3" w:rsidRPr="00A331C3" w:rsidRDefault="00A331C3" w:rsidP="00A331C3">
            <w:pPr>
              <w:spacing w:after="0" w:line="240" w:lineRule="auto"/>
              <w:rPr>
                <w:rFonts w:ascii="Lato" w:eastAsia="Times New Roman" w:hAnsi="Lato" w:cs="Arial"/>
                <w:b/>
                <w:bCs/>
                <w:sz w:val="18"/>
                <w:szCs w:val="18"/>
                <w:lang w:eastAsia="en-CA"/>
              </w:rPr>
            </w:pPr>
          </w:p>
        </w:tc>
        <w:tc>
          <w:tcPr>
            <w:tcW w:w="2020" w:type="dxa"/>
            <w:tcBorders>
              <w:top w:val="nil"/>
              <w:left w:val="nil"/>
              <w:bottom w:val="nil"/>
              <w:right w:val="nil"/>
            </w:tcBorders>
            <w:shd w:val="clear" w:color="auto" w:fill="auto"/>
            <w:noWrap/>
            <w:vAlign w:val="bottom"/>
            <w:hideMark/>
          </w:tcPr>
          <w:p w14:paraId="30EC6241" w14:textId="77777777" w:rsidR="00A331C3" w:rsidRPr="00A331C3" w:rsidRDefault="00A331C3" w:rsidP="00A331C3">
            <w:pPr>
              <w:spacing w:after="0" w:line="240" w:lineRule="auto"/>
              <w:rPr>
                <w:rFonts w:ascii="Times New Roman" w:eastAsia="Times New Roman" w:hAnsi="Times New Roman" w:cs="Times New Roman"/>
                <w:sz w:val="20"/>
                <w:szCs w:val="20"/>
                <w:lang w:eastAsia="en-CA"/>
              </w:rPr>
            </w:pPr>
          </w:p>
        </w:tc>
      </w:tr>
      <w:tr w:rsidR="00A331C3" w:rsidRPr="00A331C3" w14:paraId="0C6F38F7" w14:textId="77777777" w:rsidTr="00A331C3">
        <w:trPr>
          <w:trHeight w:val="330"/>
        </w:trPr>
        <w:tc>
          <w:tcPr>
            <w:tcW w:w="5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4877B"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SEPPA (Special Education per pupil amount)</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26DE57B8"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5,078,912</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3AD8061C"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5,050,617</w:t>
            </w:r>
          </w:p>
        </w:tc>
      </w:tr>
      <w:tr w:rsidR="00A331C3" w:rsidRPr="00A331C3" w14:paraId="348E18FB"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21E91893"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Special Equipment Amount</w:t>
            </w:r>
          </w:p>
        </w:tc>
        <w:tc>
          <w:tcPr>
            <w:tcW w:w="1940" w:type="dxa"/>
            <w:tcBorders>
              <w:top w:val="nil"/>
              <w:left w:val="nil"/>
              <w:bottom w:val="single" w:sz="4" w:space="0" w:color="auto"/>
              <w:right w:val="single" w:sz="4" w:space="0" w:color="auto"/>
            </w:tcBorders>
            <w:shd w:val="clear" w:color="auto" w:fill="auto"/>
            <w:noWrap/>
            <w:vAlign w:val="bottom"/>
            <w:hideMark/>
          </w:tcPr>
          <w:p w14:paraId="066085C4"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388,411</w:t>
            </w:r>
          </w:p>
        </w:tc>
        <w:tc>
          <w:tcPr>
            <w:tcW w:w="2020" w:type="dxa"/>
            <w:tcBorders>
              <w:top w:val="nil"/>
              <w:left w:val="nil"/>
              <w:bottom w:val="single" w:sz="4" w:space="0" w:color="auto"/>
              <w:right w:val="single" w:sz="4" w:space="0" w:color="auto"/>
            </w:tcBorders>
            <w:shd w:val="clear" w:color="auto" w:fill="auto"/>
            <w:noWrap/>
            <w:vAlign w:val="bottom"/>
            <w:hideMark/>
          </w:tcPr>
          <w:p w14:paraId="3FF852D2"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418,466</w:t>
            </w:r>
          </w:p>
        </w:tc>
      </w:tr>
      <w:tr w:rsidR="00A331C3" w:rsidRPr="00A331C3" w14:paraId="4BE73724"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4A613517"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Differentiated Special Education amount</w:t>
            </w:r>
          </w:p>
        </w:tc>
        <w:tc>
          <w:tcPr>
            <w:tcW w:w="1940" w:type="dxa"/>
            <w:tcBorders>
              <w:top w:val="nil"/>
              <w:left w:val="nil"/>
              <w:bottom w:val="single" w:sz="4" w:space="0" w:color="auto"/>
              <w:right w:val="single" w:sz="4" w:space="0" w:color="auto"/>
            </w:tcBorders>
            <w:shd w:val="clear" w:color="auto" w:fill="auto"/>
            <w:noWrap/>
            <w:vAlign w:val="bottom"/>
            <w:hideMark/>
          </w:tcPr>
          <w:p w14:paraId="0E3EA061"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5,540,095</w:t>
            </w:r>
          </w:p>
        </w:tc>
        <w:tc>
          <w:tcPr>
            <w:tcW w:w="2020" w:type="dxa"/>
            <w:tcBorders>
              <w:top w:val="nil"/>
              <w:left w:val="nil"/>
              <w:bottom w:val="single" w:sz="4" w:space="0" w:color="auto"/>
              <w:right w:val="single" w:sz="4" w:space="0" w:color="auto"/>
            </w:tcBorders>
            <w:shd w:val="clear" w:color="auto" w:fill="auto"/>
            <w:noWrap/>
            <w:vAlign w:val="bottom"/>
            <w:hideMark/>
          </w:tcPr>
          <w:p w14:paraId="139B67BB"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5,730,827</w:t>
            </w:r>
          </w:p>
        </w:tc>
      </w:tr>
      <w:tr w:rsidR="00A331C3" w:rsidRPr="00A331C3" w14:paraId="2A61A80F"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003B417D"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Special Incidence Portion Amount</w:t>
            </w:r>
          </w:p>
        </w:tc>
        <w:tc>
          <w:tcPr>
            <w:tcW w:w="1940" w:type="dxa"/>
            <w:tcBorders>
              <w:top w:val="nil"/>
              <w:left w:val="nil"/>
              <w:bottom w:val="single" w:sz="4" w:space="0" w:color="auto"/>
              <w:right w:val="single" w:sz="4" w:space="0" w:color="auto"/>
            </w:tcBorders>
            <w:shd w:val="clear" w:color="auto" w:fill="auto"/>
            <w:noWrap/>
            <w:vAlign w:val="bottom"/>
            <w:hideMark/>
          </w:tcPr>
          <w:p w14:paraId="7C4C10FA"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1,431,830</w:t>
            </w:r>
          </w:p>
        </w:tc>
        <w:tc>
          <w:tcPr>
            <w:tcW w:w="2020" w:type="dxa"/>
            <w:tcBorders>
              <w:top w:val="nil"/>
              <w:left w:val="nil"/>
              <w:bottom w:val="single" w:sz="4" w:space="0" w:color="auto"/>
              <w:right w:val="single" w:sz="4" w:space="0" w:color="auto"/>
            </w:tcBorders>
            <w:shd w:val="clear" w:color="auto" w:fill="auto"/>
            <w:noWrap/>
            <w:vAlign w:val="bottom"/>
            <w:hideMark/>
          </w:tcPr>
          <w:p w14:paraId="0D344C59"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1,531,830</w:t>
            </w:r>
          </w:p>
        </w:tc>
      </w:tr>
      <w:tr w:rsidR="00A331C3" w:rsidRPr="00A331C3" w14:paraId="53FF12A2"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7F7903FD"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Section 23 Facilities Amount</w:t>
            </w:r>
          </w:p>
        </w:tc>
        <w:tc>
          <w:tcPr>
            <w:tcW w:w="1940" w:type="dxa"/>
            <w:tcBorders>
              <w:top w:val="nil"/>
              <w:left w:val="nil"/>
              <w:bottom w:val="single" w:sz="4" w:space="0" w:color="auto"/>
              <w:right w:val="single" w:sz="4" w:space="0" w:color="auto"/>
            </w:tcBorders>
            <w:shd w:val="clear" w:color="auto" w:fill="auto"/>
            <w:noWrap/>
            <w:vAlign w:val="bottom"/>
            <w:hideMark/>
          </w:tcPr>
          <w:p w14:paraId="609AF81F"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191,121</w:t>
            </w:r>
          </w:p>
        </w:tc>
        <w:tc>
          <w:tcPr>
            <w:tcW w:w="2020" w:type="dxa"/>
            <w:tcBorders>
              <w:top w:val="nil"/>
              <w:left w:val="nil"/>
              <w:bottom w:val="single" w:sz="4" w:space="0" w:color="auto"/>
              <w:right w:val="single" w:sz="4" w:space="0" w:color="auto"/>
            </w:tcBorders>
            <w:shd w:val="clear" w:color="auto" w:fill="auto"/>
            <w:noWrap/>
            <w:vAlign w:val="bottom"/>
            <w:hideMark/>
          </w:tcPr>
          <w:p w14:paraId="342D96CD"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192,297</w:t>
            </w:r>
          </w:p>
        </w:tc>
      </w:tr>
      <w:tr w:rsidR="00A331C3" w:rsidRPr="00A331C3" w14:paraId="529AE473"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7B7ABAB9"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Behaviour Expertise Amount</w:t>
            </w:r>
          </w:p>
        </w:tc>
        <w:tc>
          <w:tcPr>
            <w:tcW w:w="1940" w:type="dxa"/>
            <w:tcBorders>
              <w:top w:val="nil"/>
              <w:left w:val="nil"/>
              <w:bottom w:val="single" w:sz="4" w:space="0" w:color="auto"/>
              <w:right w:val="single" w:sz="4" w:space="0" w:color="auto"/>
            </w:tcBorders>
            <w:shd w:val="clear" w:color="auto" w:fill="auto"/>
            <w:noWrap/>
            <w:vAlign w:val="bottom"/>
            <w:hideMark/>
          </w:tcPr>
          <w:p w14:paraId="2E5A3E4C"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297,202</w:t>
            </w:r>
          </w:p>
        </w:tc>
        <w:tc>
          <w:tcPr>
            <w:tcW w:w="2020" w:type="dxa"/>
            <w:tcBorders>
              <w:top w:val="nil"/>
              <w:left w:val="nil"/>
              <w:bottom w:val="single" w:sz="4" w:space="0" w:color="auto"/>
              <w:right w:val="single" w:sz="4" w:space="0" w:color="auto"/>
            </w:tcBorders>
            <w:shd w:val="clear" w:color="auto" w:fill="auto"/>
            <w:noWrap/>
            <w:vAlign w:val="bottom"/>
            <w:hideMark/>
          </w:tcPr>
          <w:p w14:paraId="5714C373"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299,273</w:t>
            </w:r>
          </w:p>
        </w:tc>
      </w:tr>
      <w:tr w:rsidR="00A331C3" w:rsidRPr="00A331C3" w14:paraId="46475A78"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1B3AE92B"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Northern Supports Initiative</w:t>
            </w:r>
          </w:p>
        </w:tc>
        <w:tc>
          <w:tcPr>
            <w:tcW w:w="1940" w:type="dxa"/>
            <w:tcBorders>
              <w:top w:val="nil"/>
              <w:left w:val="nil"/>
              <w:bottom w:val="single" w:sz="4" w:space="0" w:color="auto"/>
              <w:right w:val="single" w:sz="4" w:space="0" w:color="auto"/>
            </w:tcBorders>
            <w:shd w:val="clear" w:color="auto" w:fill="auto"/>
            <w:noWrap/>
            <w:vAlign w:val="bottom"/>
            <w:hideMark/>
          </w:tcPr>
          <w:p w14:paraId="3E0FE4D9"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354,000</w:t>
            </w:r>
          </w:p>
        </w:tc>
        <w:tc>
          <w:tcPr>
            <w:tcW w:w="2020" w:type="dxa"/>
            <w:tcBorders>
              <w:top w:val="nil"/>
              <w:left w:val="nil"/>
              <w:bottom w:val="single" w:sz="4" w:space="0" w:color="auto"/>
              <w:right w:val="single" w:sz="4" w:space="0" w:color="auto"/>
            </w:tcBorders>
            <w:shd w:val="clear" w:color="auto" w:fill="auto"/>
            <w:noWrap/>
            <w:vAlign w:val="bottom"/>
            <w:hideMark/>
          </w:tcPr>
          <w:p w14:paraId="02CB2497"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400,000</w:t>
            </w:r>
          </w:p>
        </w:tc>
      </w:tr>
      <w:tr w:rsidR="00A331C3" w:rsidRPr="00A331C3" w14:paraId="5CF00843"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3A668E7B"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Total Special Education Allocation</w:t>
            </w:r>
          </w:p>
        </w:tc>
        <w:tc>
          <w:tcPr>
            <w:tcW w:w="1940" w:type="dxa"/>
            <w:tcBorders>
              <w:top w:val="nil"/>
              <w:left w:val="nil"/>
              <w:bottom w:val="single" w:sz="4" w:space="0" w:color="auto"/>
              <w:right w:val="single" w:sz="4" w:space="0" w:color="auto"/>
            </w:tcBorders>
            <w:shd w:val="clear" w:color="auto" w:fill="auto"/>
            <w:noWrap/>
            <w:vAlign w:val="bottom"/>
            <w:hideMark/>
          </w:tcPr>
          <w:p w14:paraId="0B74C9D9"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13,281,571</w:t>
            </w:r>
          </w:p>
        </w:tc>
        <w:tc>
          <w:tcPr>
            <w:tcW w:w="2020" w:type="dxa"/>
            <w:tcBorders>
              <w:top w:val="nil"/>
              <w:left w:val="nil"/>
              <w:bottom w:val="single" w:sz="4" w:space="0" w:color="auto"/>
              <w:right w:val="single" w:sz="4" w:space="0" w:color="auto"/>
            </w:tcBorders>
            <w:shd w:val="clear" w:color="auto" w:fill="auto"/>
            <w:noWrap/>
            <w:vAlign w:val="bottom"/>
            <w:hideMark/>
          </w:tcPr>
          <w:p w14:paraId="1A70300C"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13,623,310</w:t>
            </w:r>
          </w:p>
        </w:tc>
      </w:tr>
      <w:tr w:rsidR="00A331C3" w:rsidRPr="00A331C3" w14:paraId="704B58A5" w14:textId="77777777" w:rsidTr="00A331C3">
        <w:trPr>
          <w:trHeight w:val="165"/>
        </w:trPr>
        <w:tc>
          <w:tcPr>
            <w:tcW w:w="5400" w:type="dxa"/>
            <w:tcBorders>
              <w:top w:val="nil"/>
              <w:left w:val="nil"/>
              <w:bottom w:val="nil"/>
              <w:right w:val="nil"/>
            </w:tcBorders>
            <w:shd w:val="clear" w:color="auto" w:fill="auto"/>
            <w:noWrap/>
            <w:vAlign w:val="bottom"/>
            <w:hideMark/>
          </w:tcPr>
          <w:p w14:paraId="7F79CC40" w14:textId="77777777" w:rsidR="00A331C3" w:rsidRPr="00A331C3" w:rsidRDefault="00A331C3" w:rsidP="00A331C3">
            <w:pPr>
              <w:spacing w:after="0" w:line="240" w:lineRule="auto"/>
              <w:jc w:val="right"/>
              <w:rPr>
                <w:rFonts w:ascii="Lato" w:eastAsia="Times New Roman" w:hAnsi="Lato" w:cs="Arial"/>
                <w:b/>
                <w:bCs/>
                <w:sz w:val="18"/>
                <w:szCs w:val="18"/>
                <w:lang w:eastAsia="en-CA"/>
              </w:rPr>
            </w:pPr>
          </w:p>
        </w:tc>
        <w:tc>
          <w:tcPr>
            <w:tcW w:w="1940" w:type="dxa"/>
            <w:tcBorders>
              <w:top w:val="nil"/>
              <w:left w:val="nil"/>
              <w:bottom w:val="nil"/>
              <w:right w:val="nil"/>
            </w:tcBorders>
            <w:shd w:val="clear" w:color="auto" w:fill="auto"/>
            <w:noWrap/>
            <w:vAlign w:val="bottom"/>
            <w:hideMark/>
          </w:tcPr>
          <w:p w14:paraId="7E9DB240" w14:textId="77777777" w:rsidR="00A331C3" w:rsidRPr="00A331C3" w:rsidRDefault="00A331C3" w:rsidP="00A331C3">
            <w:pPr>
              <w:spacing w:after="0" w:line="240" w:lineRule="auto"/>
              <w:rPr>
                <w:rFonts w:ascii="Times New Roman" w:eastAsia="Times New Roman" w:hAnsi="Times New Roman" w:cs="Times New Roman"/>
                <w:sz w:val="20"/>
                <w:szCs w:val="20"/>
                <w:lang w:eastAsia="en-CA"/>
              </w:rPr>
            </w:pPr>
          </w:p>
        </w:tc>
        <w:tc>
          <w:tcPr>
            <w:tcW w:w="2020" w:type="dxa"/>
            <w:tcBorders>
              <w:top w:val="nil"/>
              <w:left w:val="nil"/>
              <w:bottom w:val="nil"/>
              <w:right w:val="nil"/>
            </w:tcBorders>
            <w:shd w:val="clear" w:color="auto" w:fill="auto"/>
            <w:noWrap/>
            <w:vAlign w:val="bottom"/>
            <w:hideMark/>
          </w:tcPr>
          <w:p w14:paraId="02CC3CF6" w14:textId="77777777" w:rsidR="00A331C3" w:rsidRPr="00A331C3" w:rsidRDefault="00A331C3" w:rsidP="00A331C3">
            <w:pPr>
              <w:spacing w:after="0" w:line="240" w:lineRule="auto"/>
              <w:rPr>
                <w:rFonts w:ascii="Times New Roman" w:eastAsia="Times New Roman" w:hAnsi="Times New Roman" w:cs="Times New Roman"/>
                <w:sz w:val="20"/>
                <w:szCs w:val="20"/>
                <w:lang w:eastAsia="en-CA"/>
              </w:rPr>
            </w:pPr>
          </w:p>
        </w:tc>
      </w:tr>
      <w:tr w:rsidR="00A331C3" w:rsidRPr="00A331C3" w14:paraId="20BE4CB5" w14:textId="77777777" w:rsidTr="00A331C3">
        <w:trPr>
          <w:trHeight w:val="330"/>
        </w:trPr>
        <w:tc>
          <w:tcPr>
            <w:tcW w:w="5400" w:type="dxa"/>
            <w:tcBorders>
              <w:top w:val="nil"/>
              <w:left w:val="nil"/>
              <w:bottom w:val="nil"/>
              <w:right w:val="nil"/>
            </w:tcBorders>
            <w:shd w:val="clear" w:color="auto" w:fill="auto"/>
            <w:noWrap/>
            <w:vAlign w:val="bottom"/>
            <w:hideMark/>
          </w:tcPr>
          <w:p w14:paraId="1594A363" w14:textId="77777777" w:rsidR="00A331C3" w:rsidRPr="00A331C3" w:rsidRDefault="00A331C3" w:rsidP="00A331C3">
            <w:pPr>
              <w:spacing w:after="0" w:line="240" w:lineRule="auto"/>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Expenses</w:t>
            </w:r>
          </w:p>
        </w:tc>
        <w:tc>
          <w:tcPr>
            <w:tcW w:w="1940" w:type="dxa"/>
            <w:tcBorders>
              <w:top w:val="nil"/>
              <w:left w:val="nil"/>
              <w:bottom w:val="nil"/>
              <w:right w:val="nil"/>
            </w:tcBorders>
            <w:shd w:val="clear" w:color="auto" w:fill="auto"/>
            <w:noWrap/>
            <w:vAlign w:val="bottom"/>
            <w:hideMark/>
          </w:tcPr>
          <w:p w14:paraId="024CD7AC" w14:textId="77777777" w:rsidR="00A331C3" w:rsidRPr="00A331C3" w:rsidRDefault="00A331C3" w:rsidP="00A331C3">
            <w:pPr>
              <w:spacing w:after="0" w:line="240" w:lineRule="auto"/>
              <w:rPr>
                <w:rFonts w:ascii="Lato" w:eastAsia="Times New Roman" w:hAnsi="Lato" w:cs="Arial"/>
                <w:b/>
                <w:bCs/>
                <w:sz w:val="18"/>
                <w:szCs w:val="18"/>
                <w:lang w:eastAsia="en-CA"/>
              </w:rPr>
            </w:pPr>
          </w:p>
        </w:tc>
        <w:tc>
          <w:tcPr>
            <w:tcW w:w="2020" w:type="dxa"/>
            <w:tcBorders>
              <w:top w:val="nil"/>
              <w:left w:val="nil"/>
              <w:bottom w:val="nil"/>
              <w:right w:val="nil"/>
            </w:tcBorders>
            <w:shd w:val="clear" w:color="auto" w:fill="auto"/>
            <w:noWrap/>
            <w:vAlign w:val="bottom"/>
            <w:hideMark/>
          </w:tcPr>
          <w:p w14:paraId="58FA98A1" w14:textId="77777777" w:rsidR="00A331C3" w:rsidRPr="00A331C3" w:rsidRDefault="00A331C3" w:rsidP="00A331C3">
            <w:pPr>
              <w:spacing w:after="0" w:line="240" w:lineRule="auto"/>
              <w:rPr>
                <w:rFonts w:ascii="Times New Roman" w:eastAsia="Times New Roman" w:hAnsi="Times New Roman" w:cs="Times New Roman"/>
                <w:sz w:val="20"/>
                <w:szCs w:val="20"/>
                <w:lang w:eastAsia="en-CA"/>
              </w:rPr>
            </w:pPr>
          </w:p>
        </w:tc>
      </w:tr>
      <w:tr w:rsidR="00A331C3" w:rsidRPr="00A331C3" w14:paraId="48078169" w14:textId="77777777" w:rsidTr="00A331C3">
        <w:trPr>
          <w:trHeight w:val="330"/>
        </w:trPr>
        <w:tc>
          <w:tcPr>
            <w:tcW w:w="5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17BAB"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All Special Education Teachers</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4B4226A3"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6,249,598</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43D11B0C"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5,815,214</w:t>
            </w:r>
          </w:p>
        </w:tc>
      </w:tr>
      <w:tr w:rsidR="00A331C3" w:rsidRPr="00A331C3" w14:paraId="2EDBA37B"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62FC821E"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Supply Teachers</w:t>
            </w:r>
          </w:p>
        </w:tc>
        <w:tc>
          <w:tcPr>
            <w:tcW w:w="1940" w:type="dxa"/>
            <w:tcBorders>
              <w:top w:val="nil"/>
              <w:left w:val="nil"/>
              <w:bottom w:val="single" w:sz="4" w:space="0" w:color="auto"/>
              <w:right w:val="single" w:sz="4" w:space="0" w:color="auto"/>
            </w:tcBorders>
            <w:shd w:val="clear" w:color="auto" w:fill="auto"/>
            <w:noWrap/>
            <w:vAlign w:val="bottom"/>
            <w:hideMark/>
          </w:tcPr>
          <w:p w14:paraId="0C18A519"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425,872</w:t>
            </w:r>
          </w:p>
        </w:tc>
        <w:tc>
          <w:tcPr>
            <w:tcW w:w="2020" w:type="dxa"/>
            <w:tcBorders>
              <w:top w:val="nil"/>
              <w:left w:val="nil"/>
              <w:bottom w:val="single" w:sz="4" w:space="0" w:color="auto"/>
              <w:right w:val="single" w:sz="4" w:space="0" w:color="auto"/>
            </w:tcBorders>
            <w:shd w:val="clear" w:color="auto" w:fill="auto"/>
            <w:noWrap/>
            <w:vAlign w:val="bottom"/>
            <w:hideMark/>
          </w:tcPr>
          <w:p w14:paraId="28826EA6"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491,444</w:t>
            </w:r>
          </w:p>
        </w:tc>
      </w:tr>
      <w:tr w:rsidR="00A331C3" w:rsidRPr="00A331C3" w14:paraId="747FD28B"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3B1B82F8"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Educational Assistants</w:t>
            </w:r>
          </w:p>
        </w:tc>
        <w:tc>
          <w:tcPr>
            <w:tcW w:w="1940" w:type="dxa"/>
            <w:tcBorders>
              <w:top w:val="nil"/>
              <w:left w:val="nil"/>
              <w:bottom w:val="single" w:sz="4" w:space="0" w:color="auto"/>
              <w:right w:val="single" w:sz="4" w:space="0" w:color="auto"/>
            </w:tcBorders>
            <w:shd w:val="clear" w:color="auto" w:fill="auto"/>
            <w:noWrap/>
            <w:vAlign w:val="bottom"/>
            <w:hideMark/>
          </w:tcPr>
          <w:p w14:paraId="297C4367"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5,937,047</w:t>
            </w:r>
          </w:p>
        </w:tc>
        <w:tc>
          <w:tcPr>
            <w:tcW w:w="2020" w:type="dxa"/>
            <w:tcBorders>
              <w:top w:val="nil"/>
              <w:left w:val="nil"/>
              <w:bottom w:val="single" w:sz="4" w:space="0" w:color="auto"/>
              <w:right w:val="single" w:sz="4" w:space="0" w:color="auto"/>
            </w:tcBorders>
            <w:shd w:val="clear" w:color="auto" w:fill="auto"/>
            <w:noWrap/>
            <w:vAlign w:val="bottom"/>
            <w:hideMark/>
          </w:tcPr>
          <w:p w14:paraId="1F32A20F"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6,750,546</w:t>
            </w:r>
          </w:p>
        </w:tc>
      </w:tr>
      <w:tr w:rsidR="00A331C3" w:rsidRPr="00A331C3" w14:paraId="53A379C0"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66BD0811"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Supplies</w:t>
            </w:r>
          </w:p>
        </w:tc>
        <w:tc>
          <w:tcPr>
            <w:tcW w:w="1940" w:type="dxa"/>
            <w:tcBorders>
              <w:top w:val="nil"/>
              <w:left w:val="nil"/>
              <w:bottom w:val="single" w:sz="4" w:space="0" w:color="auto"/>
              <w:right w:val="single" w:sz="4" w:space="0" w:color="auto"/>
            </w:tcBorders>
            <w:shd w:val="clear" w:color="auto" w:fill="auto"/>
            <w:noWrap/>
            <w:vAlign w:val="bottom"/>
            <w:hideMark/>
          </w:tcPr>
          <w:p w14:paraId="7CEB71D4"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217,390</w:t>
            </w:r>
          </w:p>
        </w:tc>
        <w:tc>
          <w:tcPr>
            <w:tcW w:w="2020" w:type="dxa"/>
            <w:tcBorders>
              <w:top w:val="nil"/>
              <w:left w:val="nil"/>
              <w:bottom w:val="single" w:sz="4" w:space="0" w:color="auto"/>
              <w:right w:val="single" w:sz="4" w:space="0" w:color="auto"/>
            </w:tcBorders>
            <w:shd w:val="clear" w:color="auto" w:fill="auto"/>
            <w:noWrap/>
            <w:vAlign w:val="bottom"/>
            <w:hideMark/>
          </w:tcPr>
          <w:p w14:paraId="6F7AC34E"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152,390</w:t>
            </w:r>
          </w:p>
        </w:tc>
      </w:tr>
      <w:tr w:rsidR="00A331C3" w:rsidRPr="00A331C3" w14:paraId="1A5000AC"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4182A2AD"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SEA equipment</w:t>
            </w:r>
          </w:p>
        </w:tc>
        <w:tc>
          <w:tcPr>
            <w:tcW w:w="1940" w:type="dxa"/>
            <w:tcBorders>
              <w:top w:val="nil"/>
              <w:left w:val="nil"/>
              <w:bottom w:val="single" w:sz="4" w:space="0" w:color="auto"/>
              <w:right w:val="single" w:sz="4" w:space="0" w:color="auto"/>
            </w:tcBorders>
            <w:shd w:val="clear" w:color="auto" w:fill="auto"/>
            <w:noWrap/>
            <w:vAlign w:val="bottom"/>
            <w:hideMark/>
          </w:tcPr>
          <w:p w14:paraId="4BA79E37"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250,000</w:t>
            </w:r>
          </w:p>
        </w:tc>
        <w:tc>
          <w:tcPr>
            <w:tcW w:w="2020" w:type="dxa"/>
            <w:tcBorders>
              <w:top w:val="nil"/>
              <w:left w:val="nil"/>
              <w:bottom w:val="single" w:sz="4" w:space="0" w:color="auto"/>
              <w:right w:val="single" w:sz="4" w:space="0" w:color="auto"/>
            </w:tcBorders>
            <w:shd w:val="clear" w:color="auto" w:fill="auto"/>
            <w:noWrap/>
            <w:vAlign w:val="bottom"/>
            <w:hideMark/>
          </w:tcPr>
          <w:p w14:paraId="786D75E0"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150,000</w:t>
            </w:r>
          </w:p>
        </w:tc>
      </w:tr>
      <w:tr w:rsidR="00A331C3" w:rsidRPr="00A331C3" w14:paraId="1F83F457"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0A36885A"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Computers</w:t>
            </w:r>
          </w:p>
        </w:tc>
        <w:tc>
          <w:tcPr>
            <w:tcW w:w="1940" w:type="dxa"/>
            <w:tcBorders>
              <w:top w:val="nil"/>
              <w:left w:val="nil"/>
              <w:bottom w:val="single" w:sz="4" w:space="0" w:color="auto"/>
              <w:right w:val="single" w:sz="4" w:space="0" w:color="auto"/>
            </w:tcBorders>
            <w:shd w:val="clear" w:color="auto" w:fill="auto"/>
            <w:noWrap/>
            <w:vAlign w:val="bottom"/>
            <w:hideMark/>
          </w:tcPr>
          <w:p w14:paraId="69198B35"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228,610</w:t>
            </w:r>
          </w:p>
        </w:tc>
        <w:tc>
          <w:tcPr>
            <w:tcW w:w="2020" w:type="dxa"/>
            <w:tcBorders>
              <w:top w:val="nil"/>
              <w:left w:val="nil"/>
              <w:bottom w:val="single" w:sz="4" w:space="0" w:color="auto"/>
              <w:right w:val="single" w:sz="4" w:space="0" w:color="auto"/>
            </w:tcBorders>
            <w:shd w:val="clear" w:color="auto" w:fill="auto"/>
            <w:noWrap/>
            <w:vAlign w:val="bottom"/>
            <w:hideMark/>
          </w:tcPr>
          <w:p w14:paraId="13FE5808"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268,466</w:t>
            </w:r>
          </w:p>
        </w:tc>
      </w:tr>
      <w:tr w:rsidR="00A331C3" w:rsidRPr="00A331C3" w14:paraId="2CCCC9E6"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24416162"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Professionals/Technical Staff</w:t>
            </w:r>
          </w:p>
        </w:tc>
        <w:tc>
          <w:tcPr>
            <w:tcW w:w="1940" w:type="dxa"/>
            <w:tcBorders>
              <w:top w:val="nil"/>
              <w:left w:val="nil"/>
              <w:bottom w:val="single" w:sz="4" w:space="0" w:color="auto"/>
              <w:right w:val="single" w:sz="4" w:space="0" w:color="auto"/>
            </w:tcBorders>
            <w:shd w:val="clear" w:color="auto" w:fill="auto"/>
            <w:noWrap/>
            <w:vAlign w:val="bottom"/>
            <w:hideMark/>
          </w:tcPr>
          <w:p w14:paraId="7B41B3C8"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1,636,814</w:t>
            </w:r>
          </w:p>
        </w:tc>
        <w:tc>
          <w:tcPr>
            <w:tcW w:w="2020" w:type="dxa"/>
            <w:tcBorders>
              <w:top w:val="nil"/>
              <w:left w:val="nil"/>
              <w:bottom w:val="single" w:sz="4" w:space="0" w:color="auto"/>
              <w:right w:val="single" w:sz="4" w:space="0" w:color="auto"/>
            </w:tcBorders>
            <w:shd w:val="clear" w:color="auto" w:fill="auto"/>
            <w:noWrap/>
            <w:vAlign w:val="bottom"/>
            <w:hideMark/>
          </w:tcPr>
          <w:p w14:paraId="229AEEED"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1,461,407</w:t>
            </w:r>
          </w:p>
        </w:tc>
      </w:tr>
      <w:tr w:rsidR="00A331C3" w:rsidRPr="00A331C3" w14:paraId="1AA22A31"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476A4130"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Staff Development</w:t>
            </w:r>
          </w:p>
        </w:tc>
        <w:tc>
          <w:tcPr>
            <w:tcW w:w="1940" w:type="dxa"/>
            <w:tcBorders>
              <w:top w:val="nil"/>
              <w:left w:val="nil"/>
              <w:bottom w:val="single" w:sz="4" w:space="0" w:color="auto"/>
              <w:right w:val="single" w:sz="4" w:space="0" w:color="auto"/>
            </w:tcBorders>
            <w:shd w:val="clear" w:color="auto" w:fill="auto"/>
            <w:noWrap/>
            <w:vAlign w:val="bottom"/>
            <w:hideMark/>
          </w:tcPr>
          <w:p w14:paraId="5253B6F6"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37,865</w:t>
            </w:r>
          </w:p>
        </w:tc>
        <w:tc>
          <w:tcPr>
            <w:tcW w:w="2020" w:type="dxa"/>
            <w:tcBorders>
              <w:top w:val="nil"/>
              <w:left w:val="nil"/>
              <w:bottom w:val="single" w:sz="4" w:space="0" w:color="auto"/>
              <w:right w:val="single" w:sz="4" w:space="0" w:color="auto"/>
            </w:tcBorders>
            <w:shd w:val="clear" w:color="auto" w:fill="auto"/>
            <w:noWrap/>
            <w:vAlign w:val="bottom"/>
            <w:hideMark/>
          </w:tcPr>
          <w:p w14:paraId="709EE41D"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41,865</w:t>
            </w:r>
          </w:p>
        </w:tc>
      </w:tr>
      <w:tr w:rsidR="00A331C3" w:rsidRPr="00A331C3" w14:paraId="6ECA95A7"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5A3964CD"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Coordinator / Behavioural Expert</w:t>
            </w:r>
          </w:p>
        </w:tc>
        <w:tc>
          <w:tcPr>
            <w:tcW w:w="1940" w:type="dxa"/>
            <w:tcBorders>
              <w:top w:val="nil"/>
              <w:left w:val="nil"/>
              <w:bottom w:val="single" w:sz="4" w:space="0" w:color="auto"/>
              <w:right w:val="single" w:sz="4" w:space="0" w:color="auto"/>
            </w:tcBorders>
            <w:shd w:val="clear" w:color="auto" w:fill="auto"/>
            <w:noWrap/>
            <w:vAlign w:val="bottom"/>
            <w:hideMark/>
          </w:tcPr>
          <w:p w14:paraId="66DD05DB"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173,297</w:t>
            </w:r>
          </w:p>
        </w:tc>
        <w:tc>
          <w:tcPr>
            <w:tcW w:w="2020" w:type="dxa"/>
            <w:tcBorders>
              <w:top w:val="nil"/>
              <w:left w:val="nil"/>
              <w:bottom w:val="single" w:sz="4" w:space="0" w:color="auto"/>
              <w:right w:val="single" w:sz="4" w:space="0" w:color="auto"/>
            </w:tcBorders>
            <w:shd w:val="clear" w:color="auto" w:fill="auto"/>
            <w:noWrap/>
            <w:vAlign w:val="bottom"/>
            <w:hideMark/>
          </w:tcPr>
          <w:p w14:paraId="4836864A"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349,336</w:t>
            </w:r>
          </w:p>
        </w:tc>
      </w:tr>
      <w:tr w:rsidR="00A331C3" w:rsidRPr="00A331C3" w14:paraId="717FD0D8"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6CDC2086"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Total Special Education Expenses</w:t>
            </w:r>
          </w:p>
        </w:tc>
        <w:tc>
          <w:tcPr>
            <w:tcW w:w="1940" w:type="dxa"/>
            <w:tcBorders>
              <w:top w:val="nil"/>
              <w:left w:val="nil"/>
              <w:bottom w:val="single" w:sz="4" w:space="0" w:color="auto"/>
              <w:right w:val="single" w:sz="4" w:space="0" w:color="auto"/>
            </w:tcBorders>
            <w:shd w:val="clear" w:color="auto" w:fill="auto"/>
            <w:noWrap/>
            <w:vAlign w:val="bottom"/>
            <w:hideMark/>
          </w:tcPr>
          <w:p w14:paraId="53D8B46E"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15,156,493</w:t>
            </w:r>
          </w:p>
        </w:tc>
        <w:tc>
          <w:tcPr>
            <w:tcW w:w="2020" w:type="dxa"/>
            <w:tcBorders>
              <w:top w:val="nil"/>
              <w:left w:val="nil"/>
              <w:bottom w:val="single" w:sz="4" w:space="0" w:color="auto"/>
              <w:right w:val="single" w:sz="4" w:space="0" w:color="auto"/>
            </w:tcBorders>
            <w:shd w:val="clear" w:color="auto" w:fill="auto"/>
            <w:noWrap/>
            <w:vAlign w:val="bottom"/>
            <w:hideMark/>
          </w:tcPr>
          <w:p w14:paraId="3B8ED4A0"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15,480,668</w:t>
            </w:r>
          </w:p>
        </w:tc>
      </w:tr>
      <w:tr w:rsidR="00A331C3" w:rsidRPr="00A331C3" w14:paraId="548E7E2F"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4F7BDCB0"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Less: Self-Contained Classes Allocation</w:t>
            </w:r>
          </w:p>
        </w:tc>
        <w:tc>
          <w:tcPr>
            <w:tcW w:w="1940" w:type="dxa"/>
            <w:tcBorders>
              <w:top w:val="nil"/>
              <w:left w:val="nil"/>
              <w:bottom w:val="single" w:sz="4" w:space="0" w:color="auto"/>
              <w:right w:val="single" w:sz="4" w:space="0" w:color="auto"/>
            </w:tcBorders>
            <w:shd w:val="clear" w:color="auto" w:fill="auto"/>
            <w:noWrap/>
            <w:vAlign w:val="bottom"/>
            <w:hideMark/>
          </w:tcPr>
          <w:p w14:paraId="5DCE2D45"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771,218</w:t>
            </w:r>
          </w:p>
        </w:tc>
        <w:tc>
          <w:tcPr>
            <w:tcW w:w="2020" w:type="dxa"/>
            <w:tcBorders>
              <w:top w:val="nil"/>
              <w:left w:val="nil"/>
              <w:bottom w:val="single" w:sz="4" w:space="0" w:color="auto"/>
              <w:right w:val="single" w:sz="4" w:space="0" w:color="auto"/>
            </w:tcBorders>
            <w:shd w:val="clear" w:color="auto" w:fill="auto"/>
            <w:noWrap/>
            <w:vAlign w:val="bottom"/>
            <w:hideMark/>
          </w:tcPr>
          <w:p w14:paraId="49AB8808"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860,315</w:t>
            </w:r>
          </w:p>
        </w:tc>
      </w:tr>
      <w:tr w:rsidR="00A331C3" w:rsidRPr="00A331C3" w14:paraId="1C275800"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798BC4C3"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Total Special Education Expenses</w:t>
            </w:r>
          </w:p>
        </w:tc>
        <w:tc>
          <w:tcPr>
            <w:tcW w:w="1940" w:type="dxa"/>
            <w:tcBorders>
              <w:top w:val="nil"/>
              <w:left w:val="nil"/>
              <w:bottom w:val="single" w:sz="4" w:space="0" w:color="auto"/>
              <w:right w:val="single" w:sz="4" w:space="0" w:color="auto"/>
            </w:tcBorders>
            <w:shd w:val="clear" w:color="auto" w:fill="auto"/>
            <w:noWrap/>
            <w:vAlign w:val="bottom"/>
            <w:hideMark/>
          </w:tcPr>
          <w:p w14:paraId="02085811"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14,385,275</w:t>
            </w:r>
          </w:p>
        </w:tc>
        <w:tc>
          <w:tcPr>
            <w:tcW w:w="2020" w:type="dxa"/>
            <w:tcBorders>
              <w:top w:val="nil"/>
              <w:left w:val="nil"/>
              <w:bottom w:val="single" w:sz="4" w:space="0" w:color="auto"/>
              <w:right w:val="single" w:sz="4" w:space="0" w:color="auto"/>
            </w:tcBorders>
            <w:shd w:val="clear" w:color="auto" w:fill="auto"/>
            <w:noWrap/>
            <w:vAlign w:val="bottom"/>
            <w:hideMark/>
          </w:tcPr>
          <w:p w14:paraId="152734F5"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14,620,353</w:t>
            </w:r>
          </w:p>
        </w:tc>
      </w:tr>
      <w:tr w:rsidR="00A331C3" w:rsidRPr="00A331C3" w14:paraId="402DE43A" w14:textId="77777777" w:rsidTr="00A331C3">
        <w:trPr>
          <w:trHeight w:val="330"/>
        </w:trPr>
        <w:tc>
          <w:tcPr>
            <w:tcW w:w="5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7BCF0" w14:textId="77777777" w:rsidR="00A331C3" w:rsidRPr="00A331C3" w:rsidRDefault="00A331C3" w:rsidP="00A331C3">
            <w:pPr>
              <w:spacing w:after="0" w:line="240" w:lineRule="auto"/>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Total Surplus or (Deficit)</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22C7FADD"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-1,103,704</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6CEFA22F"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-997,043</w:t>
            </w:r>
          </w:p>
        </w:tc>
      </w:tr>
      <w:tr w:rsidR="00A331C3" w:rsidRPr="00A331C3" w14:paraId="17EC97B4" w14:textId="77777777" w:rsidTr="00A331C3">
        <w:trPr>
          <w:trHeight w:val="330"/>
        </w:trPr>
        <w:tc>
          <w:tcPr>
            <w:tcW w:w="5400" w:type="dxa"/>
            <w:tcBorders>
              <w:top w:val="nil"/>
              <w:left w:val="nil"/>
              <w:bottom w:val="nil"/>
              <w:right w:val="nil"/>
            </w:tcBorders>
            <w:shd w:val="clear" w:color="auto" w:fill="auto"/>
            <w:noWrap/>
            <w:vAlign w:val="bottom"/>
            <w:hideMark/>
          </w:tcPr>
          <w:p w14:paraId="3B99685A" w14:textId="77777777" w:rsidR="00A331C3" w:rsidRPr="00A331C3" w:rsidRDefault="00A331C3" w:rsidP="00A331C3">
            <w:pPr>
              <w:spacing w:after="0" w:line="240" w:lineRule="auto"/>
              <w:jc w:val="right"/>
              <w:rPr>
                <w:rFonts w:ascii="Lato" w:eastAsia="Times New Roman" w:hAnsi="Lato" w:cs="Arial"/>
                <w:b/>
                <w:bCs/>
                <w:sz w:val="18"/>
                <w:szCs w:val="18"/>
                <w:lang w:eastAsia="en-CA"/>
              </w:rPr>
            </w:pPr>
          </w:p>
        </w:tc>
        <w:tc>
          <w:tcPr>
            <w:tcW w:w="1940" w:type="dxa"/>
            <w:tcBorders>
              <w:top w:val="nil"/>
              <w:left w:val="nil"/>
              <w:bottom w:val="nil"/>
              <w:right w:val="nil"/>
            </w:tcBorders>
            <w:shd w:val="clear" w:color="auto" w:fill="auto"/>
            <w:noWrap/>
            <w:vAlign w:val="bottom"/>
            <w:hideMark/>
          </w:tcPr>
          <w:p w14:paraId="07451206" w14:textId="77777777" w:rsidR="00A331C3" w:rsidRPr="00A331C3" w:rsidRDefault="00A331C3" w:rsidP="00A331C3">
            <w:pPr>
              <w:spacing w:after="0" w:line="240" w:lineRule="auto"/>
              <w:rPr>
                <w:rFonts w:ascii="Times New Roman" w:eastAsia="Times New Roman" w:hAnsi="Times New Roman" w:cs="Times New Roman"/>
                <w:sz w:val="20"/>
                <w:szCs w:val="20"/>
                <w:lang w:eastAsia="en-CA"/>
              </w:rPr>
            </w:pPr>
          </w:p>
        </w:tc>
        <w:tc>
          <w:tcPr>
            <w:tcW w:w="2020" w:type="dxa"/>
            <w:tcBorders>
              <w:top w:val="nil"/>
              <w:left w:val="nil"/>
              <w:bottom w:val="nil"/>
              <w:right w:val="nil"/>
            </w:tcBorders>
            <w:shd w:val="clear" w:color="auto" w:fill="auto"/>
            <w:noWrap/>
            <w:vAlign w:val="bottom"/>
            <w:hideMark/>
          </w:tcPr>
          <w:p w14:paraId="7FD13509" w14:textId="77777777" w:rsidR="00A331C3" w:rsidRPr="00A331C3" w:rsidRDefault="00A331C3" w:rsidP="00A331C3">
            <w:pPr>
              <w:spacing w:after="0" w:line="240" w:lineRule="auto"/>
              <w:rPr>
                <w:rFonts w:ascii="Times New Roman" w:eastAsia="Times New Roman" w:hAnsi="Times New Roman" w:cs="Times New Roman"/>
                <w:sz w:val="20"/>
                <w:szCs w:val="20"/>
                <w:lang w:eastAsia="en-CA"/>
              </w:rPr>
            </w:pPr>
          </w:p>
        </w:tc>
      </w:tr>
      <w:tr w:rsidR="00A331C3" w:rsidRPr="00A331C3" w14:paraId="4F9E9A4F" w14:textId="77777777" w:rsidTr="00A331C3">
        <w:trPr>
          <w:trHeight w:val="330"/>
        </w:trPr>
        <w:tc>
          <w:tcPr>
            <w:tcW w:w="5400" w:type="dxa"/>
            <w:tcBorders>
              <w:top w:val="single" w:sz="4" w:space="0" w:color="auto"/>
              <w:left w:val="single" w:sz="4" w:space="0" w:color="auto"/>
              <w:bottom w:val="nil"/>
              <w:right w:val="nil"/>
            </w:tcBorders>
            <w:shd w:val="clear" w:color="auto" w:fill="auto"/>
            <w:noWrap/>
            <w:vAlign w:val="bottom"/>
            <w:hideMark/>
          </w:tcPr>
          <w:p w14:paraId="6A848A90" w14:textId="77777777" w:rsidR="00A331C3" w:rsidRPr="00A331C3" w:rsidRDefault="00A331C3" w:rsidP="00A331C3">
            <w:pPr>
              <w:spacing w:after="0" w:line="240" w:lineRule="auto"/>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Use of Deferred Revenues</w:t>
            </w:r>
          </w:p>
        </w:tc>
        <w:tc>
          <w:tcPr>
            <w:tcW w:w="1940" w:type="dxa"/>
            <w:tcBorders>
              <w:top w:val="single" w:sz="4" w:space="0" w:color="auto"/>
              <w:left w:val="nil"/>
              <w:bottom w:val="nil"/>
              <w:right w:val="nil"/>
            </w:tcBorders>
            <w:shd w:val="clear" w:color="auto" w:fill="auto"/>
            <w:noWrap/>
            <w:vAlign w:val="bottom"/>
            <w:hideMark/>
          </w:tcPr>
          <w:p w14:paraId="79C49CA9" w14:textId="77777777" w:rsidR="00A331C3" w:rsidRPr="00A331C3" w:rsidRDefault="00A331C3" w:rsidP="00A331C3">
            <w:pPr>
              <w:spacing w:after="0" w:line="240" w:lineRule="auto"/>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 </w:t>
            </w:r>
          </w:p>
        </w:tc>
        <w:tc>
          <w:tcPr>
            <w:tcW w:w="2020" w:type="dxa"/>
            <w:tcBorders>
              <w:top w:val="single" w:sz="4" w:space="0" w:color="auto"/>
              <w:left w:val="nil"/>
              <w:bottom w:val="nil"/>
              <w:right w:val="single" w:sz="4" w:space="0" w:color="auto"/>
            </w:tcBorders>
            <w:shd w:val="clear" w:color="auto" w:fill="auto"/>
            <w:noWrap/>
            <w:vAlign w:val="bottom"/>
            <w:hideMark/>
          </w:tcPr>
          <w:p w14:paraId="06BB043F"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 </w:t>
            </w:r>
          </w:p>
        </w:tc>
      </w:tr>
      <w:tr w:rsidR="00A331C3" w:rsidRPr="00A331C3" w14:paraId="0E91FD39" w14:textId="77777777" w:rsidTr="00A331C3">
        <w:trPr>
          <w:trHeight w:val="330"/>
        </w:trPr>
        <w:tc>
          <w:tcPr>
            <w:tcW w:w="5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2B619" w14:textId="77777777" w:rsidR="00A331C3" w:rsidRPr="00A331C3" w:rsidRDefault="00A331C3" w:rsidP="00A331C3">
            <w:pPr>
              <w:spacing w:after="0" w:line="240" w:lineRule="auto"/>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Opening Operating Deferred Revenue</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2160980E"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1,636,530</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11B602B1"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1,000,000</w:t>
            </w:r>
          </w:p>
        </w:tc>
      </w:tr>
      <w:tr w:rsidR="00A331C3" w:rsidRPr="00A331C3" w14:paraId="061B65A9"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11AC1AAC"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Revenue for operating</w:t>
            </w:r>
          </w:p>
        </w:tc>
        <w:tc>
          <w:tcPr>
            <w:tcW w:w="1940" w:type="dxa"/>
            <w:tcBorders>
              <w:top w:val="nil"/>
              <w:left w:val="nil"/>
              <w:bottom w:val="single" w:sz="4" w:space="0" w:color="auto"/>
              <w:right w:val="single" w:sz="4" w:space="0" w:color="auto"/>
            </w:tcBorders>
            <w:shd w:val="clear" w:color="auto" w:fill="auto"/>
            <w:noWrap/>
            <w:vAlign w:val="bottom"/>
            <w:hideMark/>
          </w:tcPr>
          <w:p w14:paraId="1287FD59"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12,611,276</w:t>
            </w:r>
          </w:p>
        </w:tc>
        <w:tc>
          <w:tcPr>
            <w:tcW w:w="2020" w:type="dxa"/>
            <w:tcBorders>
              <w:top w:val="nil"/>
              <w:left w:val="nil"/>
              <w:bottom w:val="single" w:sz="4" w:space="0" w:color="auto"/>
              <w:right w:val="single" w:sz="4" w:space="0" w:color="auto"/>
            </w:tcBorders>
            <w:shd w:val="clear" w:color="auto" w:fill="auto"/>
            <w:noWrap/>
            <w:vAlign w:val="bottom"/>
            <w:hideMark/>
          </w:tcPr>
          <w:p w14:paraId="060EF00A"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12,876,577</w:t>
            </w:r>
          </w:p>
        </w:tc>
      </w:tr>
      <w:tr w:rsidR="00A331C3" w:rsidRPr="00A331C3" w14:paraId="146D1742"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6417B672"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Expense for operating</w:t>
            </w:r>
          </w:p>
        </w:tc>
        <w:tc>
          <w:tcPr>
            <w:tcW w:w="1940" w:type="dxa"/>
            <w:tcBorders>
              <w:top w:val="nil"/>
              <w:left w:val="nil"/>
              <w:bottom w:val="single" w:sz="4" w:space="0" w:color="auto"/>
              <w:right w:val="single" w:sz="4" w:space="0" w:color="auto"/>
            </w:tcBorders>
            <w:shd w:val="clear" w:color="auto" w:fill="auto"/>
            <w:noWrap/>
            <w:vAlign w:val="bottom"/>
            <w:hideMark/>
          </w:tcPr>
          <w:p w14:paraId="7CBF1A23"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-13,629,946</w:t>
            </w:r>
          </w:p>
        </w:tc>
        <w:tc>
          <w:tcPr>
            <w:tcW w:w="2020" w:type="dxa"/>
            <w:tcBorders>
              <w:top w:val="nil"/>
              <w:left w:val="nil"/>
              <w:bottom w:val="single" w:sz="4" w:space="0" w:color="auto"/>
              <w:right w:val="single" w:sz="4" w:space="0" w:color="auto"/>
            </w:tcBorders>
            <w:shd w:val="clear" w:color="auto" w:fill="auto"/>
            <w:noWrap/>
            <w:vAlign w:val="bottom"/>
            <w:hideMark/>
          </w:tcPr>
          <w:p w14:paraId="4A5AB20A"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-13,763,695</w:t>
            </w:r>
          </w:p>
        </w:tc>
      </w:tr>
      <w:tr w:rsidR="00A331C3" w:rsidRPr="00A331C3" w14:paraId="0337ECE7"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3821E87D" w14:textId="77777777" w:rsidR="00A331C3" w:rsidRPr="00A331C3" w:rsidRDefault="00A331C3" w:rsidP="00A331C3">
            <w:pPr>
              <w:spacing w:after="0" w:line="240" w:lineRule="auto"/>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Closing Operating Deferred Revenue</w:t>
            </w:r>
          </w:p>
        </w:tc>
        <w:tc>
          <w:tcPr>
            <w:tcW w:w="1940" w:type="dxa"/>
            <w:tcBorders>
              <w:top w:val="nil"/>
              <w:left w:val="nil"/>
              <w:bottom w:val="single" w:sz="4" w:space="0" w:color="auto"/>
              <w:right w:val="single" w:sz="4" w:space="0" w:color="auto"/>
            </w:tcBorders>
            <w:shd w:val="clear" w:color="auto" w:fill="auto"/>
            <w:noWrap/>
            <w:vAlign w:val="bottom"/>
            <w:hideMark/>
          </w:tcPr>
          <w:p w14:paraId="07E0CF04"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617,860</w:t>
            </w:r>
          </w:p>
        </w:tc>
        <w:tc>
          <w:tcPr>
            <w:tcW w:w="2020" w:type="dxa"/>
            <w:tcBorders>
              <w:top w:val="nil"/>
              <w:left w:val="nil"/>
              <w:bottom w:val="single" w:sz="4" w:space="0" w:color="auto"/>
              <w:right w:val="single" w:sz="4" w:space="0" w:color="auto"/>
            </w:tcBorders>
            <w:shd w:val="clear" w:color="auto" w:fill="auto"/>
            <w:noWrap/>
            <w:vAlign w:val="bottom"/>
            <w:hideMark/>
          </w:tcPr>
          <w:p w14:paraId="56728A7E"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112,882</w:t>
            </w:r>
          </w:p>
        </w:tc>
      </w:tr>
      <w:tr w:rsidR="00A331C3" w:rsidRPr="00A331C3" w14:paraId="40D87E72" w14:textId="77777777" w:rsidTr="00A331C3">
        <w:trPr>
          <w:trHeight w:val="330"/>
        </w:trPr>
        <w:tc>
          <w:tcPr>
            <w:tcW w:w="5400" w:type="dxa"/>
            <w:tcBorders>
              <w:top w:val="nil"/>
              <w:left w:val="single" w:sz="4" w:space="0" w:color="auto"/>
              <w:bottom w:val="nil"/>
              <w:right w:val="nil"/>
            </w:tcBorders>
            <w:shd w:val="clear" w:color="auto" w:fill="auto"/>
            <w:noWrap/>
            <w:vAlign w:val="bottom"/>
            <w:hideMark/>
          </w:tcPr>
          <w:p w14:paraId="13880754"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lastRenderedPageBreak/>
              <w:t> </w:t>
            </w:r>
          </w:p>
        </w:tc>
        <w:tc>
          <w:tcPr>
            <w:tcW w:w="1940" w:type="dxa"/>
            <w:tcBorders>
              <w:top w:val="nil"/>
              <w:left w:val="nil"/>
              <w:bottom w:val="nil"/>
              <w:right w:val="nil"/>
            </w:tcBorders>
            <w:shd w:val="clear" w:color="auto" w:fill="auto"/>
            <w:noWrap/>
            <w:vAlign w:val="bottom"/>
            <w:hideMark/>
          </w:tcPr>
          <w:p w14:paraId="648DD7D7" w14:textId="77777777" w:rsidR="00A331C3" w:rsidRPr="00A331C3" w:rsidRDefault="00A331C3" w:rsidP="00A331C3">
            <w:pPr>
              <w:spacing w:after="0" w:line="240" w:lineRule="auto"/>
              <w:rPr>
                <w:rFonts w:ascii="Lato" w:eastAsia="Times New Roman" w:hAnsi="Lato" w:cs="Arial"/>
                <w:sz w:val="18"/>
                <w:szCs w:val="18"/>
                <w:lang w:eastAsia="en-CA"/>
              </w:rPr>
            </w:pPr>
          </w:p>
        </w:tc>
        <w:tc>
          <w:tcPr>
            <w:tcW w:w="2020" w:type="dxa"/>
            <w:tcBorders>
              <w:top w:val="nil"/>
              <w:left w:val="nil"/>
              <w:bottom w:val="nil"/>
              <w:right w:val="single" w:sz="4" w:space="0" w:color="auto"/>
            </w:tcBorders>
            <w:shd w:val="clear" w:color="auto" w:fill="auto"/>
            <w:noWrap/>
            <w:vAlign w:val="bottom"/>
            <w:hideMark/>
          </w:tcPr>
          <w:p w14:paraId="309E3809"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 </w:t>
            </w:r>
          </w:p>
        </w:tc>
      </w:tr>
      <w:tr w:rsidR="00A331C3" w:rsidRPr="00A331C3" w14:paraId="6267F732" w14:textId="77777777" w:rsidTr="00A331C3">
        <w:trPr>
          <w:trHeight w:val="330"/>
        </w:trPr>
        <w:tc>
          <w:tcPr>
            <w:tcW w:w="5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7B8B3" w14:textId="77777777" w:rsidR="00A331C3" w:rsidRPr="00A331C3" w:rsidRDefault="00A331C3" w:rsidP="00A331C3">
            <w:pPr>
              <w:spacing w:after="0" w:line="240" w:lineRule="auto"/>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Opening SEA Deferred Revenue</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27F58A57"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612,245</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11C8E0E2"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522,312</w:t>
            </w:r>
          </w:p>
        </w:tc>
      </w:tr>
      <w:tr w:rsidR="00A331C3" w:rsidRPr="00A331C3" w14:paraId="17022D34"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498322BD"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Revenue for SEA</w:t>
            </w:r>
          </w:p>
        </w:tc>
        <w:tc>
          <w:tcPr>
            <w:tcW w:w="1940" w:type="dxa"/>
            <w:tcBorders>
              <w:top w:val="nil"/>
              <w:left w:val="nil"/>
              <w:bottom w:val="single" w:sz="4" w:space="0" w:color="auto"/>
              <w:right w:val="single" w:sz="4" w:space="0" w:color="auto"/>
            </w:tcBorders>
            <w:shd w:val="clear" w:color="auto" w:fill="auto"/>
            <w:noWrap/>
            <w:vAlign w:val="bottom"/>
            <w:hideMark/>
          </w:tcPr>
          <w:p w14:paraId="46D883E0"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238,411</w:t>
            </w:r>
          </w:p>
        </w:tc>
        <w:tc>
          <w:tcPr>
            <w:tcW w:w="2020" w:type="dxa"/>
            <w:tcBorders>
              <w:top w:val="nil"/>
              <w:left w:val="nil"/>
              <w:bottom w:val="single" w:sz="4" w:space="0" w:color="auto"/>
              <w:right w:val="single" w:sz="4" w:space="0" w:color="auto"/>
            </w:tcBorders>
            <w:shd w:val="clear" w:color="auto" w:fill="auto"/>
            <w:noWrap/>
            <w:vAlign w:val="bottom"/>
            <w:hideMark/>
          </w:tcPr>
          <w:p w14:paraId="7B4812B2"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268,466</w:t>
            </w:r>
          </w:p>
        </w:tc>
      </w:tr>
      <w:tr w:rsidR="00A331C3" w:rsidRPr="00A331C3" w14:paraId="178285BF" w14:textId="77777777" w:rsidTr="00A331C3">
        <w:trPr>
          <w:trHeight w:val="30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498CE527"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Expense for SEA</w:t>
            </w:r>
          </w:p>
        </w:tc>
        <w:tc>
          <w:tcPr>
            <w:tcW w:w="1940" w:type="dxa"/>
            <w:tcBorders>
              <w:top w:val="nil"/>
              <w:left w:val="nil"/>
              <w:bottom w:val="single" w:sz="4" w:space="0" w:color="auto"/>
              <w:right w:val="single" w:sz="4" w:space="0" w:color="auto"/>
            </w:tcBorders>
            <w:shd w:val="clear" w:color="auto" w:fill="auto"/>
            <w:noWrap/>
            <w:vAlign w:val="bottom"/>
            <w:hideMark/>
          </w:tcPr>
          <w:p w14:paraId="3D3FEB06"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-328,610</w:t>
            </w:r>
          </w:p>
        </w:tc>
        <w:tc>
          <w:tcPr>
            <w:tcW w:w="2020" w:type="dxa"/>
            <w:tcBorders>
              <w:top w:val="nil"/>
              <w:left w:val="nil"/>
              <w:bottom w:val="single" w:sz="4" w:space="0" w:color="auto"/>
              <w:right w:val="single" w:sz="4" w:space="0" w:color="auto"/>
            </w:tcBorders>
            <w:shd w:val="clear" w:color="auto" w:fill="auto"/>
            <w:noWrap/>
            <w:vAlign w:val="bottom"/>
            <w:hideMark/>
          </w:tcPr>
          <w:p w14:paraId="5828278F"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-368,466</w:t>
            </w:r>
          </w:p>
        </w:tc>
      </w:tr>
      <w:tr w:rsidR="00A331C3" w:rsidRPr="00A331C3" w14:paraId="093823F9" w14:textId="77777777" w:rsidTr="00A331C3">
        <w:trPr>
          <w:trHeight w:val="315"/>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0551C057" w14:textId="77777777" w:rsidR="00A331C3" w:rsidRPr="00A331C3" w:rsidRDefault="00A331C3" w:rsidP="00A331C3">
            <w:pPr>
              <w:spacing w:after="0" w:line="240" w:lineRule="auto"/>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Closing SEA Deferred Revenue</w:t>
            </w:r>
          </w:p>
        </w:tc>
        <w:tc>
          <w:tcPr>
            <w:tcW w:w="1940" w:type="dxa"/>
            <w:tcBorders>
              <w:top w:val="nil"/>
              <w:left w:val="nil"/>
              <w:bottom w:val="single" w:sz="4" w:space="0" w:color="auto"/>
              <w:right w:val="single" w:sz="4" w:space="0" w:color="auto"/>
            </w:tcBorders>
            <w:shd w:val="clear" w:color="auto" w:fill="auto"/>
            <w:noWrap/>
            <w:vAlign w:val="bottom"/>
            <w:hideMark/>
          </w:tcPr>
          <w:p w14:paraId="2C4C75D1"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522,046</w:t>
            </w:r>
          </w:p>
        </w:tc>
        <w:tc>
          <w:tcPr>
            <w:tcW w:w="2020" w:type="dxa"/>
            <w:tcBorders>
              <w:top w:val="nil"/>
              <w:left w:val="nil"/>
              <w:bottom w:val="single" w:sz="4" w:space="0" w:color="auto"/>
              <w:right w:val="single" w:sz="4" w:space="0" w:color="auto"/>
            </w:tcBorders>
            <w:shd w:val="clear" w:color="auto" w:fill="auto"/>
            <w:noWrap/>
            <w:vAlign w:val="bottom"/>
            <w:hideMark/>
          </w:tcPr>
          <w:p w14:paraId="0C508CD9"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422,312</w:t>
            </w:r>
          </w:p>
        </w:tc>
      </w:tr>
      <w:tr w:rsidR="00A331C3" w:rsidRPr="00A331C3" w14:paraId="39F88051" w14:textId="77777777" w:rsidTr="00A331C3">
        <w:trPr>
          <w:trHeight w:val="285"/>
        </w:trPr>
        <w:tc>
          <w:tcPr>
            <w:tcW w:w="5400" w:type="dxa"/>
            <w:tcBorders>
              <w:top w:val="nil"/>
              <w:left w:val="single" w:sz="4" w:space="0" w:color="auto"/>
              <w:bottom w:val="nil"/>
              <w:right w:val="nil"/>
            </w:tcBorders>
            <w:shd w:val="clear" w:color="auto" w:fill="auto"/>
            <w:noWrap/>
            <w:vAlign w:val="bottom"/>
            <w:hideMark/>
          </w:tcPr>
          <w:p w14:paraId="49C8B157"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 </w:t>
            </w:r>
          </w:p>
        </w:tc>
        <w:tc>
          <w:tcPr>
            <w:tcW w:w="1940" w:type="dxa"/>
            <w:tcBorders>
              <w:top w:val="nil"/>
              <w:left w:val="nil"/>
              <w:bottom w:val="nil"/>
              <w:right w:val="nil"/>
            </w:tcBorders>
            <w:shd w:val="clear" w:color="auto" w:fill="auto"/>
            <w:noWrap/>
            <w:vAlign w:val="bottom"/>
            <w:hideMark/>
          </w:tcPr>
          <w:p w14:paraId="3348450D" w14:textId="77777777" w:rsidR="00A331C3" w:rsidRPr="00A331C3" w:rsidRDefault="00A331C3" w:rsidP="00A331C3">
            <w:pPr>
              <w:spacing w:after="0" w:line="240" w:lineRule="auto"/>
              <w:rPr>
                <w:rFonts w:ascii="Lato" w:eastAsia="Times New Roman" w:hAnsi="Lato" w:cs="Arial"/>
                <w:sz w:val="18"/>
                <w:szCs w:val="18"/>
                <w:lang w:eastAsia="en-CA"/>
              </w:rPr>
            </w:pPr>
          </w:p>
        </w:tc>
        <w:tc>
          <w:tcPr>
            <w:tcW w:w="2020" w:type="dxa"/>
            <w:tcBorders>
              <w:top w:val="nil"/>
              <w:left w:val="nil"/>
              <w:bottom w:val="nil"/>
              <w:right w:val="single" w:sz="4" w:space="0" w:color="auto"/>
            </w:tcBorders>
            <w:shd w:val="clear" w:color="auto" w:fill="auto"/>
            <w:noWrap/>
            <w:vAlign w:val="bottom"/>
            <w:hideMark/>
          </w:tcPr>
          <w:p w14:paraId="768DD385"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 </w:t>
            </w:r>
          </w:p>
        </w:tc>
      </w:tr>
      <w:tr w:rsidR="00A331C3" w:rsidRPr="00A331C3" w14:paraId="0FC0CDDB" w14:textId="77777777" w:rsidTr="00A331C3">
        <w:trPr>
          <w:trHeight w:val="330"/>
        </w:trPr>
        <w:tc>
          <w:tcPr>
            <w:tcW w:w="5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F6597" w14:textId="77777777" w:rsidR="00A331C3" w:rsidRPr="00A331C3" w:rsidRDefault="00A331C3" w:rsidP="00A331C3">
            <w:pPr>
              <w:spacing w:after="0" w:line="240" w:lineRule="auto"/>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Opening ABA training Deferred Revenue</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1FC9143F"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40,074</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001A65D2"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45,239</w:t>
            </w:r>
          </w:p>
        </w:tc>
      </w:tr>
      <w:tr w:rsidR="00A331C3" w:rsidRPr="00A331C3" w14:paraId="625564A8"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72A6169C"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Revenue for ABA training</w:t>
            </w:r>
          </w:p>
        </w:tc>
        <w:tc>
          <w:tcPr>
            <w:tcW w:w="1940" w:type="dxa"/>
            <w:tcBorders>
              <w:top w:val="nil"/>
              <w:left w:val="nil"/>
              <w:bottom w:val="single" w:sz="4" w:space="0" w:color="auto"/>
              <w:right w:val="single" w:sz="4" w:space="0" w:color="auto"/>
            </w:tcBorders>
            <w:shd w:val="clear" w:color="auto" w:fill="auto"/>
            <w:noWrap/>
            <w:vAlign w:val="bottom"/>
            <w:hideMark/>
          </w:tcPr>
          <w:p w14:paraId="68BE54E3"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20,165</w:t>
            </w:r>
          </w:p>
        </w:tc>
        <w:tc>
          <w:tcPr>
            <w:tcW w:w="2020" w:type="dxa"/>
            <w:tcBorders>
              <w:top w:val="nil"/>
              <w:left w:val="nil"/>
              <w:bottom w:val="single" w:sz="4" w:space="0" w:color="auto"/>
              <w:right w:val="single" w:sz="4" w:space="0" w:color="auto"/>
            </w:tcBorders>
            <w:shd w:val="clear" w:color="auto" w:fill="auto"/>
            <w:noWrap/>
            <w:vAlign w:val="bottom"/>
            <w:hideMark/>
          </w:tcPr>
          <w:p w14:paraId="68CB825F"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20,075</w:t>
            </w:r>
          </w:p>
        </w:tc>
      </w:tr>
      <w:tr w:rsidR="00A331C3" w:rsidRPr="00A331C3" w14:paraId="67D326C9"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01035B53" w14:textId="77777777" w:rsidR="00A331C3" w:rsidRPr="00A331C3" w:rsidRDefault="00A331C3" w:rsidP="00A331C3">
            <w:pPr>
              <w:spacing w:after="0" w:line="240" w:lineRule="auto"/>
              <w:rPr>
                <w:rFonts w:ascii="Lato" w:eastAsia="Times New Roman" w:hAnsi="Lato" w:cs="Arial"/>
                <w:sz w:val="18"/>
                <w:szCs w:val="18"/>
                <w:lang w:eastAsia="en-CA"/>
              </w:rPr>
            </w:pPr>
            <w:r w:rsidRPr="00A331C3">
              <w:rPr>
                <w:rFonts w:ascii="Lato" w:eastAsia="Times New Roman" w:hAnsi="Lato" w:cs="Arial"/>
                <w:sz w:val="18"/>
                <w:szCs w:val="18"/>
                <w:lang w:eastAsia="en-CA"/>
              </w:rPr>
              <w:t>Expense for ABA training</w:t>
            </w:r>
          </w:p>
        </w:tc>
        <w:tc>
          <w:tcPr>
            <w:tcW w:w="1940" w:type="dxa"/>
            <w:tcBorders>
              <w:top w:val="nil"/>
              <w:left w:val="nil"/>
              <w:bottom w:val="single" w:sz="4" w:space="0" w:color="auto"/>
              <w:right w:val="single" w:sz="4" w:space="0" w:color="auto"/>
            </w:tcBorders>
            <w:shd w:val="clear" w:color="auto" w:fill="auto"/>
            <w:noWrap/>
            <w:vAlign w:val="bottom"/>
            <w:hideMark/>
          </w:tcPr>
          <w:p w14:paraId="78D32DE8"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-15,000</w:t>
            </w:r>
          </w:p>
        </w:tc>
        <w:tc>
          <w:tcPr>
            <w:tcW w:w="2020" w:type="dxa"/>
            <w:tcBorders>
              <w:top w:val="nil"/>
              <w:left w:val="nil"/>
              <w:bottom w:val="single" w:sz="4" w:space="0" w:color="auto"/>
              <w:right w:val="single" w:sz="4" w:space="0" w:color="auto"/>
            </w:tcBorders>
            <w:shd w:val="clear" w:color="auto" w:fill="auto"/>
            <w:noWrap/>
            <w:vAlign w:val="bottom"/>
            <w:hideMark/>
          </w:tcPr>
          <w:p w14:paraId="5895044F" w14:textId="77777777" w:rsidR="00A331C3" w:rsidRPr="00A331C3" w:rsidRDefault="00A331C3" w:rsidP="00A331C3">
            <w:pPr>
              <w:spacing w:after="0" w:line="240" w:lineRule="auto"/>
              <w:jc w:val="right"/>
              <w:rPr>
                <w:rFonts w:ascii="Lato" w:eastAsia="Times New Roman" w:hAnsi="Lato" w:cs="Arial"/>
                <w:sz w:val="18"/>
                <w:szCs w:val="18"/>
                <w:lang w:eastAsia="en-CA"/>
              </w:rPr>
            </w:pPr>
            <w:r w:rsidRPr="00A331C3">
              <w:rPr>
                <w:rFonts w:ascii="Lato" w:eastAsia="Times New Roman" w:hAnsi="Lato" w:cs="Arial"/>
                <w:sz w:val="18"/>
                <w:szCs w:val="18"/>
                <w:lang w:eastAsia="en-CA"/>
              </w:rPr>
              <w:t>-30,000</w:t>
            </w:r>
          </w:p>
        </w:tc>
      </w:tr>
      <w:tr w:rsidR="00A331C3" w:rsidRPr="00A331C3" w14:paraId="6481E66E" w14:textId="77777777" w:rsidTr="00A331C3">
        <w:trPr>
          <w:trHeight w:val="33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2A83CFED" w14:textId="77777777" w:rsidR="00A331C3" w:rsidRPr="00A331C3" w:rsidRDefault="00A331C3" w:rsidP="00A331C3">
            <w:pPr>
              <w:spacing w:after="0" w:line="240" w:lineRule="auto"/>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Closing ABA training Deferred Revenue</w:t>
            </w:r>
          </w:p>
        </w:tc>
        <w:tc>
          <w:tcPr>
            <w:tcW w:w="1940" w:type="dxa"/>
            <w:tcBorders>
              <w:top w:val="nil"/>
              <w:left w:val="nil"/>
              <w:bottom w:val="single" w:sz="4" w:space="0" w:color="auto"/>
              <w:right w:val="single" w:sz="4" w:space="0" w:color="auto"/>
            </w:tcBorders>
            <w:shd w:val="clear" w:color="auto" w:fill="auto"/>
            <w:noWrap/>
            <w:vAlign w:val="bottom"/>
            <w:hideMark/>
          </w:tcPr>
          <w:p w14:paraId="1DCC87F3"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45,239</w:t>
            </w:r>
          </w:p>
        </w:tc>
        <w:tc>
          <w:tcPr>
            <w:tcW w:w="2020" w:type="dxa"/>
            <w:tcBorders>
              <w:top w:val="nil"/>
              <w:left w:val="nil"/>
              <w:bottom w:val="single" w:sz="4" w:space="0" w:color="auto"/>
              <w:right w:val="single" w:sz="4" w:space="0" w:color="auto"/>
            </w:tcBorders>
            <w:shd w:val="clear" w:color="auto" w:fill="auto"/>
            <w:noWrap/>
            <w:vAlign w:val="bottom"/>
            <w:hideMark/>
          </w:tcPr>
          <w:p w14:paraId="4A882861" w14:textId="77777777" w:rsidR="00A331C3" w:rsidRPr="00A331C3" w:rsidRDefault="00A331C3" w:rsidP="00A331C3">
            <w:pPr>
              <w:spacing w:after="0" w:line="240" w:lineRule="auto"/>
              <w:jc w:val="right"/>
              <w:rPr>
                <w:rFonts w:ascii="Lato" w:eastAsia="Times New Roman" w:hAnsi="Lato" w:cs="Arial"/>
                <w:b/>
                <w:bCs/>
                <w:sz w:val="18"/>
                <w:szCs w:val="18"/>
                <w:lang w:eastAsia="en-CA"/>
              </w:rPr>
            </w:pPr>
            <w:r w:rsidRPr="00A331C3">
              <w:rPr>
                <w:rFonts w:ascii="Lato" w:eastAsia="Times New Roman" w:hAnsi="Lato" w:cs="Arial"/>
                <w:b/>
                <w:bCs/>
                <w:sz w:val="18"/>
                <w:szCs w:val="18"/>
                <w:lang w:eastAsia="en-CA"/>
              </w:rPr>
              <w:t>35,314</w:t>
            </w:r>
          </w:p>
        </w:tc>
      </w:tr>
    </w:tbl>
    <w:p w14:paraId="5EEB8050" w14:textId="674FE7EC" w:rsidR="00737DDB" w:rsidRDefault="00737DDB" w:rsidP="00F7457A">
      <w:pPr>
        <w:pStyle w:val="NoSpacing"/>
        <w:rPr>
          <w:rFonts w:asciiTheme="minorHAnsi" w:eastAsiaTheme="minorHAnsi" w:hAnsiTheme="minorHAnsi" w:cstheme="minorBidi"/>
        </w:rPr>
      </w:pPr>
      <w:r>
        <w:rPr>
          <w:lang w:val="en-US"/>
        </w:rPr>
        <w:fldChar w:fldCharType="begin"/>
      </w:r>
      <w:r>
        <w:rPr>
          <w:lang w:val="en-US"/>
        </w:rPr>
        <w:instrText xml:space="preserve"> LINK Excel.Sheet.12 "https://sudburycatholicschools-my.sharepoint.com/personal/corallc_sudburycatholicschools_ca/Documents/Budget%202021-22/2021%202022%20Estimates/Special%20Ed%20Financials%20%202022%20(2).xlsx" "Summary!R1C1:R61C4" \a \f 4 \h </w:instrText>
      </w:r>
      <w:r w:rsidR="00D32BD8">
        <w:rPr>
          <w:lang w:val="en-US"/>
        </w:rPr>
        <w:instrText xml:space="preserve"> \* MERGEFORMAT </w:instrText>
      </w:r>
      <w:r>
        <w:rPr>
          <w:lang w:val="en-US"/>
        </w:rPr>
        <w:fldChar w:fldCharType="separate"/>
      </w:r>
    </w:p>
    <w:p w14:paraId="2EDA58CE" w14:textId="0DEE9C7E" w:rsidR="00B15DFB" w:rsidRDefault="00737DDB" w:rsidP="00D32BD8">
      <w:pPr>
        <w:pStyle w:val="NoSpacing"/>
        <w:rPr>
          <w:rFonts w:ascii="Calibri Light" w:hAnsi="Calibri Light" w:cs="Calibri Light"/>
          <w:sz w:val="24"/>
          <w:szCs w:val="24"/>
          <w:lang w:val="en-US"/>
        </w:rPr>
      </w:pPr>
      <w:r>
        <w:rPr>
          <w:lang w:val="en-US"/>
        </w:rPr>
        <w:fldChar w:fldCharType="end"/>
      </w:r>
      <w:r w:rsidR="00E31B84" w:rsidRPr="005B35E7">
        <w:rPr>
          <w:rFonts w:ascii="Calibri Light" w:hAnsi="Calibri Light" w:cs="Calibri Light"/>
          <w:sz w:val="24"/>
          <w:szCs w:val="24"/>
          <w:lang w:val="en-US"/>
        </w:rPr>
        <w:t>The projected</w:t>
      </w:r>
      <w:r w:rsidR="00C52B5D" w:rsidRPr="005B35E7">
        <w:rPr>
          <w:rFonts w:ascii="Calibri Light" w:hAnsi="Calibri Light" w:cs="Calibri Light"/>
          <w:sz w:val="24"/>
          <w:szCs w:val="24"/>
          <w:lang w:val="en-US"/>
        </w:rPr>
        <w:t xml:space="preserve"> budget </w:t>
      </w:r>
      <w:r w:rsidR="006423C7" w:rsidRPr="005B35E7">
        <w:rPr>
          <w:rFonts w:ascii="Calibri Light" w:hAnsi="Calibri Light" w:cs="Calibri Light"/>
          <w:sz w:val="24"/>
          <w:szCs w:val="24"/>
          <w:lang w:val="en-US"/>
        </w:rPr>
        <w:t xml:space="preserve">for </w:t>
      </w:r>
      <w:r w:rsidR="003B50FF">
        <w:rPr>
          <w:rFonts w:ascii="Calibri Light" w:hAnsi="Calibri Light" w:cs="Calibri Light"/>
          <w:sz w:val="24"/>
          <w:szCs w:val="24"/>
          <w:lang w:val="en-US"/>
        </w:rPr>
        <w:t>202</w:t>
      </w:r>
      <w:r w:rsidR="0047688B">
        <w:rPr>
          <w:rFonts w:ascii="Calibri Light" w:hAnsi="Calibri Light" w:cs="Calibri Light"/>
          <w:sz w:val="24"/>
          <w:szCs w:val="24"/>
          <w:lang w:val="en-US"/>
        </w:rPr>
        <w:t>2</w:t>
      </w:r>
      <w:r w:rsidR="003B50FF">
        <w:rPr>
          <w:rFonts w:ascii="Calibri Light" w:hAnsi="Calibri Light" w:cs="Calibri Light"/>
          <w:sz w:val="24"/>
          <w:szCs w:val="24"/>
          <w:lang w:val="en-US"/>
        </w:rPr>
        <w:t>-2</w:t>
      </w:r>
      <w:r w:rsidR="0047688B">
        <w:rPr>
          <w:rFonts w:ascii="Calibri Light" w:hAnsi="Calibri Light" w:cs="Calibri Light"/>
          <w:sz w:val="24"/>
          <w:szCs w:val="24"/>
          <w:lang w:val="en-US"/>
        </w:rPr>
        <w:t>3</w:t>
      </w:r>
      <w:r w:rsidR="006423C7" w:rsidRPr="005B35E7">
        <w:rPr>
          <w:rFonts w:ascii="Calibri Light" w:hAnsi="Calibri Light" w:cs="Calibri Light"/>
          <w:sz w:val="24"/>
          <w:szCs w:val="24"/>
          <w:lang w:val="en-US"/>
        </w:rPr>
        <w:t xml:space="preserve"> </w:t>
      </w:r>
      <w:r w:rsidR="00C52B5D" w:rsidRPr="005B35E7">
        <w:rPr>
          <w:rFonts w:ascii="Calibri Light" w:hAnsi="Calibri Light" w:cs="Calibri Light"/>
          <w:sz w:val="24"/>
          <w:szCs w:val="24"/>
          <w:lang w:val="en-US"/>
        </w:rPr>
        <w:t>show</w:t>
      </w:r>
      <w:r w:rsidR="00BE0BCB" w:rsidRPr="005B35E7">
        <w:rPr>
          <w:rFonts w:ascii="Calibri Light" w:hAnsi="Calibri Light" w:cs="Calibri Light"/>
          <w:sz w:val="24"/>
          <w:szCs w:val="24"/>
          <w:lang w:val="en-US"/>
        </w:rPr>
        <w:t>s</w:t>
      </w:r>
      <w:r w:rsidR="00C52B5D" w:rsidRPr="005B35E7">
        <w:rPr>
          <w:rFonts w:ascii="Calibri Light" w:hAnsi="Calibri Light" w:cs="Calibri Light"/>
          <w:sz w:val="24"/>
          <w:szCs w:val="24"/>
          <w:lang w:val="en-US"/>
        </w:rPr>
        <w:t xml:space="preserve"> that we </w:t>
      </w:r>
      <w:r w:rsidR="00BE0BCB" w:rsidRPr="005B35E7">
        <w:rPr>
          <w:rFonts w:ascii="Calibri Light" w:hAnsi="Calibri Light" w:cs="Calibri Light"/>
          <w:sz w:val="24"/>
          <w:szCs w:val="24"/>
          <w:lang w:val="en-US"/>
        </w:rPr>
        <w:t>will</w:t>
      </w:r>
      <w:r w:rsidR="00C52B5D" w:rsidRPr="005B35E7">
        <w:rPr>
          <w:rFonts w:ascii="Calibri Light" w:hAnsi="Calibri Light" w:cs="Calibri Light"/>
          <w:sz w:val="24"/>
          <w:szCs w:val="24"/>
          <w:lang w:val="en-US"/>
        </w:rPr>
        <w:t xml:space="preserve"> spend </w:t>
      </w:r>
      <w:r w:rsidR="006A59F2" w:rsidRPr="005B35E7">
        <w:rPr>
          <w:rFonts w:ascii="Calibri Light" w:hAnsi="Calibri Light" w:cs="Calibri Light"/>
          <w:sz w:val="24"/>
          <w:szCs w:val="24"/>
          <w:lang w:val="en-US"/>
        </w:rPr>
        <w:t>most of</w:t>
      </w:r>
      <w:r w:rsidR="00C52B5D" w:rsidRPr="005B35E7">
        <w:rPr>
          <w:rFonts w:ascii="Calibri Light" w:hAnsi="Calibri Light" w:cs="Calibri Light"/>
          <w:sz w:val="24"/>
          <w:szCs w:val="24"/>
          <w:lang w:val="en-US"/>
        </w:rPr>
        <w:t xml:space="preserve"> the operating deferred revenues, </w:t>
      </w:r>
      <w:r w:rsidR="007A0268" w:rsidRPr="005B35E7">
        <w:rPr>
          <w:rFonts w:ascii="Calibri Light" w:hAnsi="Calibri Light" w:cs="Calibri Light"/>
          <w:sz w:val="24"/>
          <w:szCs w:val="24"/>
          <w:lang w:val="en-US"/>
        </w:rPr>
        <w:t>this is assuming the board is able to fill vacant positions in a timely manner</w:t>
      </w:r>
      <w:r w:rsidR="00A53EEC" w:rsidRPr="005B35E7">
        <w:rPr>
          <w:rFonts w:ascii="Calibri Light" w:hAnsi="Calibri Light" w:cs="Calibri Light"/>
          <w:sz w:val="24"/>
          <w:szCs w:val="24"/>
          <w:lang w:val="en-US"/>
        </w:rPr>
        <w:t xml:space="preserve"> (which depending on the area of specialty can be difficult as there are limited resources in Northern Ontario</w:t>
      </w:r>
      <w:r w:rsidR="00805E4C" w:rsidRPr="005B35E7">
        <w:rPr>
          <w:rFonts w:ascii="Calibri Light" w:hAnsi="Calibri Light" w:cs="Calibri Light"/>
          <w:sz w:val="24"/>
          <w:szCs w:val="24"/>
          <w:lang w:val="en-US"/>
        </w:rPr>
        <w:t xml:space="preserve">).  The </w:t>
      </w:r>
      <w:r w:rsidR="00784988">
        <w:rPr>
          <w:rFonts w:ascii="Calibri Light" w:hAnsi="Calibri Light" w:cs="Calibri Light"/>
          <w:sz w:val="24"/>
          <w:szCs w:val="24"/>
          <w:lang w:val="en-US"/>
        </w:rPr>
        <w:t>de</w:t>
      </w:r>
      <w:r w:rsidR="00805E4C" w:rsidRPr="005B35E7">
        <w:rPr>
          <w:rFonts w:ascii="Calibri Light" w:hAnsi="Calibri Light" w:cs="Calibri Light"/>
          <w:sz w:val="24"/>
          <w:szCs w:val="24"/>
          <w:lang w:val="en-US"/>
        </w:rPr>
        <w:t xml:space="preserve">crease in </w:t>
      </w:r>
      <w:r w:rsidR="00BB446B">
        <w:rPr>
          <w:rFonts w:ascii="Calibri Light" w:hAnsi="Calibri Light" w:cs="Calibri Light"/>
          <w:sz w:val="24"/>
          <w:szCs w:val="24"/>
          <w:lang w:val="en-US"/>
        </w:rPr>
        <w:t xml:space="preserve">the </w:t>
      </w:r>
      <w:r w:rsidR="00805E4C" w:rsidRPr="005B35E7">
        <w:rPr>
          <w:rFonts w:ascii="Calibri Light" w:hAnsi="Calibri Light" w:cs="Calibri Light"/>
          <w:sz w:val="24"/>
          <w:szCs w:val="24"/>
          <w:lang w:val="en-US"/>
        </w:rPr>
        <w:t>budget</w:t>
      </w:r>
      <w:r w:rsidR="00BB446B">
        <w:rPr>
          <w:rFonts w:ascii="Calibri Light" w:hAnsi="Calibri Light" w:cs="Calibri Light"/>
          <w:sz w:val="24"/>
          <w:szCs w:val="24"/>
          <w:lang w:val="en-US"/>
        </w:rPr>
        <w:t xml:space="preserve"> for</w:t>
      </w:r>
      <w:r w:rsidR="00805E4C" w:rsidRPr="005B35E7">
        <w:rPr>
          <w:rFonts w:ascii="Calibri Light" w:hAnsi="Calibri Light" w:cs="Calibri Light"/>
          <w:sz w:val="24"/>
          <w:szCs w:val="24"/>
          <w:lang w:val="en-US"/>
        </w:rPr>
        <w:t xml:space="preserve"> teacher expense</w:t>
      </w:r>
      <w:r w:rsidR="00BB446B">
        <w:rPr>
          <w:rFonts w:ascii="Calibri Light" w:hAnsi="Calibri Light" w:cs="Calibri Light"/>
          <w:sz w:val="24"/>
          <w:szCs w:val="24"/>
          <w:lang w:val="en-US"/>
        </w:rPr>
        <w:t>s</w:t>
      </w:r>
      <w:r w:rsidR="00F52260" w:rsidRPr="005B35E7">
        <w:rPr>
          <w:rFonts w:ascii="Calibri Light" w:hAnsi="Calibri Light" w:cs="Calibri Light"/>
          <w:sz w:val="24"/>
          <w:szCs w:val="24"/>
          <w:lang w:val="en-US"/>
        </w:rPr>
        <w:t xml:space="preserve"> is related to </w:t>
      </w:r>
      <w:r w:rsidR="00432504">
        <w:rPr>
          <w:rFonts w:ascii="Calibri Light" w:hAnsi="Calibri Light" w:cs="Calibri Light"/>
          <w:sz w:val="24"/>
          <w:szCs w:val="24"/>
          <w:lang w:val="en-US"/>
        </w:rPr>
        <w:t xml:space="preserve">the </w:t>
      </w:r>
      <w:r w:rsidR="002F7D5F">
        <w:rPr>
          <w:rFonts w:ascii="Calibri Light" w:hAnsi="Calibri Light" w:cs="Calibri Light"/>
          <w:sz w:val="24"/>
          <w:szCs w:val="24"/>
          <w:lang w:val="en-US"/>
        </w:rPr>
        <w:t xml:space="preserve">reduction </w:t>
      </w:r>
      <w:r w:rsidR="00072BC8">
        <w:rPr>
          <w:rFonts w:ascii="Calibri Light" w:hAnsi="Calibri Light" w:cs="Calibri Light"/>
          <w:sz w:val="24"/>
          <w:szCs w:val="24"/>
          <w:lang w:val="en-US"/>
        </w:rPr>
        <w:t>of 3</w:t>
      </w:r>
      <w:r w:rsidR="00330C39">
        <w:rPr>
          <w:rFonts w:ascii="Calibri Light" w:hAnsi="Calibri Light" w:cs="Calibri Light"/>
          <w:sz w:val="24"/>
          <w:szCs w:val="24"/>
          <w:lang w:val="en-US"/>
        </w:rPr>
        <w:t xml:space="preserve"> s</w:t>
      </w:r>
      <w:r w:rsidR="00BB446B">
        <w:rPr>
          <w:rFonts w:ascii="Calibri Light" w:hAnsi="Calibri Light" w:cs="Calibri Light"/>
          <w:sz w:val="24"/>
          <w:szCs w:val="24"/>
          <w:lang w:val="en-US"/>
        </w:rPr>
        <w:t>ystem classes</w:t>
      </w:r>
      <w:r w:rsidR="00330C39">
        <w:rPr>
          <w:rFonts w:ascii="Calibri Light" w:hAnsi="Calibri Light" w:cs="Calibri Light"/>
          <w:sz w:val="24"/>
          <w:szCs w:val="24"/>
          <w:lang w:val="en-US"/>
        </w:rPr>
        <w:t xml:space="preserve"> </w:t>
      </w:r>
      <w:r w:rsidR="00A57311">
        <w:rPr>
          <w:rFonts w:ascii="Calibri Light" w:hAnsi="Calibri Light" w:cs="Calibri Light"/>
          <w:sz w:val="24"/>
          <w:szCs w:val="24"/>
          <w:lang w:val="en-US"/>
        </w:rPr>
        <w:t>resulting from the</w:t>
      </w:r>
      <w:r w:rsidR="00330C39">
        <w:rPr>
          <w:rFonts w:ascii="Calibri Light" w:hAnsi="Calibri Light" w:cs="Calibri Light"/>
          <w:sz w:val="24"/>
          <w:szCs w:val="24"/>
          <w:lang w:val="en-US"/>
        </w:rPr>
        <w:t xml:space="preserve"> new integration model</w:t>
      </w:r>
      <w:r w:rsidR="00816FA5">
        <w:rPr>
          <w:rFonts w:ascii="Calibri Light" w:hAnsi="Calibri Light" w:cs="Calibri Light"/>
          <w:sz w:val="24"/>
          <w:szCs w:val="24"/>
          <w:lang w:val="en-US"/>
        </w:rPr>
        <w:t xml:space="preserve"> that is being implemented.  </w:t>
      </w:r>
      <w:r w:rsidR="007514B5" w:rsidRPr="005B35E7">
        <w:rPr>
          <w:rFonts w:ascii="Calibri Light" w:hAnsi="Calibri Light" w:cs="Calibri Light"/>
          <w:sz w:val="24"/>
          <w:szCs w:val="24"/>
          <w:lang w:val="en-US"/>
        </w:rPr>
        <w:t xml:space="preserve">The increase in budget for Educational Assistants </w:t>
      </w:r>
      <w:r w:rsidR="00784988">
        <w:rPr>
          <w:rFonts w:ascii="Calibri Light" w:hAnsi="Calibri Light" w:cs="Calibri Light"/>
          <w:sz w:val="24"/>
          <w:szCs w:val="24"/>
          <w:lang w:val="en-US"/>
        </w:rPr>
        <w:t xml:space="preserve">is the result of </w:t>
      </w:r>
      <w:r w:rsidR="006A5FC2">
        <w:rPr>
          <w:rFonts w:ascii="Calibri Light" w:hAnsi="Calibri Light" w:cs="Calibri Light"/>
          <w:sz w:val="24"/>
          <w:szCs w:val="24"/>
          <w:lang w:val="en-US"/>
        </w:rPr>
        <w:t>the impact of integrating</w:t>
      </w:r>
      <w:r w:rsidR="007A520F">
        <w:rPr>
          <w:rFonts w:ascii="Calibri Light" w:hAnsi="Calibri Light" w:cs="Calibri Light"/>
          <w:sz w:val="24"/>
          <w:szCs w:val="24"/>
          <w:lang w:val="en-US"/>
        </w:rPr>
        <w:t xml:space="preserve"> special education students into the classroom as many of these students require additional</w:t>
      </w:r>
      <w:r w:rsidR="00496290">
        <w:rPr>
          <w:rFonts w:ascii="Calibri Light" w:hAnsi="Calibri Light" w:cs="Calibri Light"/>
          <w:sz w:val="24"/>
          <w:szCs w:val="24"/>
          <w:lang w:val="en-US"/>
        </w:rPr>
        <w:t xml:space="preserve"> </w:t>
      </w:r>
      <w:r w:rsidR="007A520F">
        <w:rPr>
          <w:rFonts w:ascii="Calibri Light" w:hAnsi="Calibri Light" w:cs="Calibri Light"/>
          <w:sz w:val="24"/>
          <w:szCs w:val="24"/>
          <w:lang w:val="en-US"/>
        </w:rPr>
        <w:t>supports</w:t>
      </w:r>
      <w:r w:rsidR="00437E6A">
        <w:rPr>
          <w:rFonts w:ascii="Calibri Light" w:hAnsi="Calibri Light" w:cs="Calibri Light"/>
          <w:sz w:val="24"/>
          <w:szCs w:val="24"/>
          <w:lang w:val="en-US"/>
        </w:rPr>
        <w:t xml:space="preserve">. </w:t>
      </w:r>
      <w:r w:rsidR="00D33828">
        <w:rPr>
          <w:rFonts w:ascii="Calibri Light" w:hAnsi="Calibri Light" w:cs="Calibri Light"/>
          <w:sz w:val="24"/>
          <w:szCs w:val="24"/>
          <w:lang w:val="en-US"/>
        </w:rPr>
        <w:t>Expenses related to NSI</w:t>
      </w:r>
      <w:r w:rsidR="00E61F7D">
        <w:rPr>
          <w:rFonts w:ascii="Calibri Light" w:hAnsi="Calibri Light" w:cs="Calibri Light"/>
          <w:sz w:val="24"/>
          <w:szCs w:val="24"/>
          <w:lang w:val="en-US"/>
        </w:rPr>
        <w:t xml:space="preserve"> were under contracts </w:t>
      </w:r>
      <w:r w:rsidR="00496290">
        <w:rPr>
          <w:rFonts w:ascii="Calibri Light" w:hAnsi="Calibri Light" w:cs="Calibri Light"/>
          <w:sz w:val="24"/>
          <w:szCs w:val="24"/>
          <w:lang w:val="en-US"/>
        </w:rPr>
        <w:t>and</w:t>
      </w:r>
      <w:r w:rsidR="00E61F7D">
        <w:rPr>
          <w:rFonts w:ascii="Calibri Light" w:hAnsi="Calibri Light" w:cs="Calibri Light"/>
          <w:sz w:val="24"/>
          <w:szCs w:val="24"/>
          <w:lang w:val="en-US"/>
        </w:rPr>
        <w:t xml:space="preserve"> </w:t>
      </w:r>
      <w:r w:rsidR="00496290">
        <w:rPr>
          <w:rFonts w:ascii="Calibri Light" w:hAnsi="Calibri Light" w:cs="Calibri Light"/>
          <w:sz w:val="24"/>
          <w:szCs w:val="24"/>
          <w:lang w:val="en-US"/>
        </w:rPr>
        <w:t xml:space="preserve">professional staff in 2021-22, however the </w:t>
      </w:r>
      <w:r w:rsidR="00F41353">
        <w:rPr>
          <w:rFonts w:ascii="Calibri Light" w:hAnsi="Calibri Light" w:cs="Calibri Light"/>
          <w:sz w:val="24"/>
          <w:szCs w:val="24"/>
          <w:lang w:val="en-US"/>
        </w:rPr>
        <w:t xml:space="preserve">areas of </w:t>
      </w:r>
      <w:r w:rsidR="00496290">
        <w:rPr>
          <w:rFonts w:ascii="Calibri Light" w:hAnsi="Calibri Light" w:cs="Calibri Light"/>
          <w:sz w:val="24"/>
          <w:szCs w:val="24"/>
          <w:lang w:val="en-US"/>
        </w:rPr>
        <w:t xml:space="preserve">need </w:t>
      </w:r>
      <w:r w:rsidR="00A36F27">
        <w:rPr>
          <w:rFonts w:ascii="Calibri Light" w:hAnsi="Calibri Light" w:cs="Calibri Light"/>
          <w:sz w:val="24"/>
          <w:szCs w:val="24"/>
          <w:lang w:val="en-US"/>
        </w:rPr>
        <w:t xml:space="preserve">transferred </w:t>
      </w:r>
      <w:r w:rsidR="003D795D">
        <w:rPr>
          <w:rFonts w:ascii="Calibri Light" w:hAnsi="Calibri Light" w:cs="Calibri Light"/>
          <w:sz w:val="24"/>
          <w:szCs w:val="24"/>
          <w:lang w:val="en-US"/>
        </w:rPr>
        <w:t>i</w:t>
      </w:r>
      <w:r w:rsidR="00A36F27">
        <w:rPr>
          <w:rFonts w:ascii="Calibri Light" w:hAnsi="Calibri Light" w:cs="Calibri Light"/>
          <w:sz w:val="24"/>
          <w:szCs w:val="24"/>
          <w:lang w:val="en-US"/>
        </w:rPr>
        <w:t xml:space="preserve">n 2022-23 </w:t>
      </w:r>
      <w:r w:rsidR="00F41353">
        <w:rPr>
          <w:rFonts w:ascii="Calibri Light" w:hAnsi="Calibri Light" w:cs="Calibri Light"/>
          <w:sz w:val="24"/>
          <w:szCs w:val="24"/>
          <w:lang w:val="en-US"/>
        </w:rPr>
        <w:t xml:space="preserve">and the change in direction is </w:t>
      </w:r>
      <w:r w:rsidR="00A36F27">
        <w:rPr>
          <w:rFonts w:ascii="Calibri Light" w:hAnsi="Calibri Light" w:cs="Calibri Light"/>
          <w:sz w:val="24"/>
          <w:szCs w:val="24"/>
          <w:lang w:val="en-US"/>
        </w:rPr>
        <w:t>to hire EAs and a Social Worker.</w:t>
      </w:r>
      <w:r w:rsidR="00496290">
        <w:rPr>
          <w:rFonts w:ascii="Calibri Light" w:hAnsi="Calibri Light" w:cs="Calibri Light"/>
          <w:sz w:val="24"/>
          <w:szCs w:val="24"/>
          <w:lang w:val="en-US"/>
        </w:rPr>
        <w:t xml:space="preserve"> </w:t>
      </w:r>
      <w:r w:rsidR="00AC66AB">
        <w:rPr>
          <w:rFonts w:ascii="Calibri Light" w:hAnsi="Calibri Light" w:cs="Calibri Light"/>
          <w:sz w:val="24"/>
          <w:szCs w:val="24"/>
          <w:lang w:val="en-US"/>
        </w:rPr>
        <w:t xml:space="preserve"> </w:t>
      </w:r>
      <w:r w:rsidR="00D17B3D" w:rsidRPr="005D2742">
        <w:rPr>
          <w:rFonts w:ascii="Calibri Light" w:hAnsi="Calibri Light" w:cs="Calibri Light"/>
          <w:sz w:val="24"/>
          <w:szCs w:val="24"/>
          <w:lang w:val="en-US"/>
        </w:rPr>
        <w:t xml:space="preserve">The </w:t>
      </w:r>
      <w:r w:rsidR="007347FF">
        <w:rPr>
          <w:rFonts w:ascii="Calibri Light" w:hAnsi="Calibri Light" w:cs="Calibri Light"/>
          <w:sz w:val="24"/>
          <w:szCs w:val="24"/>
          <w:lang w:val="en-US"/>
        </w:rPr>
        <w:t>in</w:t>
      </w:r>
      <w:r w:rsidR="00950C2E" w:rsidRPr="005D2742">
        <w:rPr>
          <w:rFonts w:ascii="Calibri Light" w:hAnsi="Calibri Light" w:cs="Calibri Light"/>
          <w:sz w:val="24"/>
          <w:szCs w:val="24"/>
          <w:lang w:val="en-US"/>
        </w:rPr>
        <w:t>crease</w:t>
      </w:r>
      <w:r w:rsidR="00D17B3D" w:rsidRPr="005D2742">
        <w:rPr>
          <w:rFonts w:ascii="Calibri Light" w:hAnsi="Calibri Light" w:cs="Calibri Light"/>
          <w:sz w:val="24"/>
          <w:szCs w:val="24"/>
          <w:lang w:val="en-US"/>
        </w:rPr>
        <w:t xml:space="preserve"> in </w:t>
      </w:r>
      <w:r w:rsidR="00710F83">
        <w:rPr>
          <w:rFonts w:ascii="Calibri Light" w:hAnsi="Calibri Light" w:cs="Calibri Light"/>
          <w:sz w:val="24"/>
          <w:szCs w:val="24"/>
          <w:lang w:val="en-US"/>
        </w:rPr>
        <w:t>Coordinator/</w:t>
      </w:r>
      <w:proofErr w:type="spellStart"/>
      <w:r w:rsidR="00710F83">
        <w:rPr>
          <w:rFonts w:ascii="Calibri Light" w:hAnsi="Calibri Light" w:cs="Calibri Light"/>
          <w:sz w:val="24"/>
          <w:szCs w:val="24"/>
          <w:lang w:val="en-US"/>
        </w:rPr>
        <w:t>Behaviour</w:t>
      </w:r>
      <w:proofErr w:type="spellEnd"/>
      <w:r w:rsidR="00710F83">
        <w:rPr>
          <w:rFonts w:ascii="Calibri Light" w:hAnsi="Calibri Light" w:cs="Calibri Light"/>
          <w:sz w:val="24"/>
          <w:szCs w:val="24"/>
          <w:lang w:val="en-US"/>
        </w:rPr>
        <w:t xml:space="preserve"> Expert</w:t>
      </w:r>
      <w:r w:rsidR="0077509B">
        <w:rPr>
          <w:rFonts w:ascii="Calibri Light" w:hAnsi="Calibri Light" w:cs="Calibri Light"/>
          <w:sz w:val="24"/>
          <w:szCs w:val="24"/>
          <w:lang w:val="en-US"/>
        </w:rPr>
        <w:t xml:space="preserve"> is due to the </w:t>
      </w:r>
      <w:r w:rsidR="00982F51">
        <w:rPr>
          <w:rFonts w:ascii="Calibri Light" w:hAnsi="Calibri Light" w:cs="Calibri Light"/>
          <w:sz w:val="24"/>
          <w:szCs w:val="24"/>
          <w:lang w:val="en-US"/>
        </w:rPr>
        <w:t>addition</w:t>
      </w:r>
      <w:r w:rsidR="0077509B">
        <w:rPr>
          <w:rFonts w:ascii="Calibri Light" w:hAnsi="Calibri Light" w:cs="Calibri Light"/>
          <w:sz w:val="24"/>
          <w:szCs w:val="24"/>
          <w:lang w:val="en-US"/>
        </w:rPr>
        <w:t xml:space="preserve"> of one </w:t>
      </w:r>
      <w:r w:rsidR="00802724">
        <w:rPr>
          <w:rFonts w:ascii="Calibri Light" w:hAnsi="Calibri Light" w:cs="Calibri Light"/>
          <w:sz w:val="24"/>
          <w:szCs w:val="24"/>
          <w:lang w:val="en-US"/>
        </w:rPr>
        <w:t>Equity and Inclusion</w:t>
      </w:r>
      <w:r w:rsidR="0077509B">
        <w:rPr>
          <w:rFonts w:ascii="Calibri Light" w:hAnsi="Calibri Light" w:cs="Calibri Light"/>
          <w:sz w:val="24"/>
          <w:szCs w:val="24"/>
          <w:lang w:val="en-US"/>
        </w:rPr>
        <w:t xml:space="preserve"> position</w:t>
      </w:r>
      <w:r w:rsidR="001431C9">
        <w:rPr>
          <w:rFonts w:ascii="Calibri Light" w:hAnsi="Calibri Light" w:cs="Calibri Light"/>
          <w:sz w:val="24"/>
          <w:szCs w:val="24"/>
          <w:lang w:val="en-US"/>
        </w:rPr>
        <w:t xml:space="preserve">.  </w:t>
      </w:r>
      <w:r w:rsidR="005D6CEC" w:rsidRPr="005D2742">
        <w:rPr>
          <w:rFonts w:ascii="Calibri Light" w:hAnsi="Calibri Light" w:cs="Calibri Light"/>
          <w:sz w:val="24"/>
          <w:szCs w:val="24"/>
          <w:lang w:val="en-US"/>
        </w:rPr>
        <w:t>The board will continue to pla</w:t>
      </w:r>
      <w:r w:rsidR="006423C7" w:rsidRPr="005D2742">
        <w:rPr>
          <w:rFonts w:ascii="Calibri Light" w:hAnsi="Calibri Light" w:cs="Calibri Light"/>
          <w:sz w:val="24"/>
          <w:szCs w:val="24"/>
          <w:lang w:val="en-US"/>
        </w:rPr>
        <w:t>n and prioritize how it will mov</w:t>
      </w:r>
      <w:r w:rsidR="005D6CEC" w:rsidRPr="005D2742">
        <w:rPr>
          <w:rFonts w:ascii="Calibri Light" w:hAnsi="Calibri Light" w:cs="Calibri Light"/>
          <w:sz w:val="24"/>
          <w:szCs w:val="24"/>
          <w:lang w:val="en-US"/>
        </w:rPr>
        <w:t>e forward ensuring to provide the supports that have the greatest impact on meeting our students’ needs.</w:t>
      </w:r>
    </w:p>
    <w:p w14:paraId="4D5B4A0B" w14:textId="77777777" w:rsidR="00FE64C0" w:rsidRDefault="00FE64C0" w:rsidP="00D32BD8">
      <w:pPr>
        <w:pStyle w:val="NoSpacing"/>
        <w:rPr>
          <w:rFonts w:ascii="Calibri Light" w:hAnsi="Calibri Light" w:cs="Calibri Light"/>
          <w:sz w:val="24"/>
          <w:szCs w:val="24"/>
          <w:lang w:val="en-US"/>
        </w:rPr>
      </w:pPr>
    </w:p>
    <w:p w14:paraId="06CBA810" w14:textId="78715517" w:rsidR="00F7457A" w:rsidRPr="00E31B84" w:rsidRDefault="00F7457A" w:rsidP="00264EF4">
      <w:pPr>
        <w:pStyle w:val="Heading4"/>
        <w:rPr>
          <w:sz w:val="24"/>
          <w:szCs w:val="24"/>
          <w:lang w:val="en-US"/>
        </w:rPr>
      </w:pPr>
      <w:r w:rsidRPr="00E31B84">
        <w:rPr>
          <w:sz w:val="24"/>
          <w:szCs w:val="24"/>
          <w:lang w:val="en-US"/>
        </w:rPr>
        <w:t>Program Leadership Allocation (PLA)</w:t>
      </w:r>
    </w:p>
    <w:p w14:paraId="4DFB13BA" w14:textId="56C3D780" w:rsidR="00F7457A" w:rsidRPr="007C3F5B" w:rsidRDefault="00F7457A" w:rsidP="00F7457A">
      <w:pPr>
        <w:rPr>
          <w:rFonts w:asciiTheme="majorHAnsi" w:hAnsiTheme="majorHAnsi" w:cstheme="majorHAnsi"/>
          <w:sz w:val="24"/>
          <w:szCs w:val="24"/>
          <w:lang w:val="en-US"/>
        </w:rPr>
      </w:pPr>
      <w:r w:rsidRPr="007C3F5B">
        <w:rPr>
          <w:rFonts w:asciiTheme="majorHAnsi" w:hAnsiTheme="majorHAnsi" w:cstheme="majorHAnsi"/>
          <w:sz w:val="24"/>
          <w:szCs w:val="24"/>
          <w:lang w:val="en-US"/>
        </w:rPr>
        <w:t xml:space="preserve">The PLA provides funding to support six lead positions that </w:t>
      </w:r>
      <w:r>
        <w:rPr>
          <w:rFonts w:asciiTheme="majorHAnsi" w:hAnsiTheme="majorHAnsi" w:cstheme="majorHAnsi"/>
          <w:sz w:val="24"/>
          <w:szCs w:val="24"/>
          <w:lang w:val="en-US"/>
        </w:rPr>
        <w:t xml:space="preserve">are included as part of Instructional expenses and </w:t>
      </w:r>
      <w:r w:rsidRPr="007C3F5B">
        <w:rPr>
          <w:rFonts w:asciiTheme="majorHAnsi" w:hAnsiTheme="majorHAnsi" w:cstheme="majorHAnsi"/>
          <w:sz w:val="24"/>
          <w:szCs w:val="24"/>
          <w:lang w:val="en-US"/>
        </w:rPr>
        <w:t>were previously funded through other allocations within the GSN and through EPO.  The PLA is enveloped, in that funding must be spent on lead’s salary, benefits, travel and professional development.  There is flexibility within the envelope to address on-the-ground needs provided the general guidelines are followed. The following indicates the means by which t</w:t>
      </w:r>
      <w:r w:rsidR="006423C7">
        <w:rPr>
          <w:rFonts w:asciiTheme="majorHAnsi" w:hAnsiTheme="majorHAnsi" w:cstheme="majorHAnsi"/>
          <w:sz w:val="24"/>
          <w:szCs w:val="24"/>
          <w:lang w:val="en-US"/>
        </w:rPr>
        <w:t>he board in planning to spend</w:t>
      </w:r>
      <w:r w:rsidRPr="007C3F5B">
        <w:rPr>
          <w:rFonts w:asciiTheme="majorHAnsi" w:hAnsiTheme="majorHAnsi" w:cstheme="majorHAnsi"/>
          <w:sz w:val="24"/>
          <w:szCs w:val="24"/>
          <w:lang w:val="en-US"/>
        </w:rPr>
        <w:t xml:space="preserve"> these funds.</w:t>
      </w:r>
    </w:p>
    <w:p w14:paraId="34309CF7" w14:textId="3588D45A" w:rsidR="00F7457A" w:rsidRDefault="008A2F3B" w:rsidP="00F7457A">
      <w:pPr>
        <w:pStyle w:val="NoSpacing"/>
        <w:rPr>
          <w:rFonts w:asciiTheme="minorHAnsi" w:eastAsiaTheme="minorHAnsi" w:hAnsiTheme="minorHAnsi" w:cstheme="minorBidi"/>
        </w:rPr>
      </w:pPr>
      <w:r w:rsidRPr="008A2F3B">
        <w:rPr>
          <w:noProof/>
        </w:rPr>
        <w:lastRenderedPageBreak/>
        <w:drawing>
          <wp:inline distT="0" distB="0" distL="0" distR="0" wp14:anchorId="78A8FA5A" wp14:editId="440CE1E0">
            <wp:extent cx="5943600" cy="25241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2524125"/>
                    </a:xfrm>
                    <a:prstGeom prst="rect">
                      <a:avLst/>
                    </a:prstGeom>
                    <a:noFill/>
                    <a:ln>
                      <a:noFill/>
                    </a:ln>
                  </pic:spPr>
                </pic:pic>
              </a:graphicData>
            </a:graphic>
          </wp:inline>
        </w:drawing>
      </w:r>
      <w:r w:rsidR="00F7457A">
        <w:rPr>
          <w:lang w:val="en-US"/>
        </w:rPr>
        <w:fldChar w:fldCharType="begin"/>
      </w:r>
      <w:r w:rsidR="00F7457A">
        <w:rPr>
          <w:lang w:val="en-US"/>
        </w:rPr>
        <w:instrText xml:space="preserve"> LINK Excel.Sheet.12 "C:\\Users\\corallc\\Reports\\Budget 2018-19\\Budget Estimates\\Admin Analysis May 22.xlsx" Trustee!R6C1:R19C3 \a \f 5 \h  \* MERGEFORMAT </w:instrText>
      </w:r>
      <w:r w:rsidR="00F7457A">
        <w:rPr>
          <w:lang w:val="en-US"/>
        </w:rPr>
        <w:fldChar w:fldCharType="separate"/>
      </w:r>
    </w:p>
    <w:p w14:paraId="666FB65D" w14:textId="32C21D68" w:rsidR="00D878C1" w:rsidRDefault="00F7457A" w:rsidP="004A5F2A">
      <w:pPr>
        <w:pStyle w:val="NoSpacing"/>
        <w:rPr>
          <w:rFonts w:asciiTheme="majorHAnsi" w:hAnsiTheme="majorHAnsi" w:cstheme="majorHAnsi"/>
          <w:sz w:val="24"/>
          <w:szCs w:val="24"/>
          <w:u w:val="single"/>
          <w:lang w:val="en-US"/>
        </w:rPr>
      </w:pPr>
      <w:r>
        <w:rPr>
          <w:lang w:val="en-US"/>
        </w:rPr>
        <w:fldChar w:fldCharType="end"/>
      </w:r>
    </w:p>
    <w:p w14:paraId="1BBD1EE5" w14:textId="45300D74" w:rsidR="00E85A27" w:rsidRPr="006137B7" w:rsidRDefault="00E85A27" w:rsidP="004A5F2A">
      <w:pPr>
        <w:pStyle w:val="NoSpacing"/>
        <w:rPr>
          <w:rFonts w:asciiTheme="majorHAnsi" w:hAnsiTheme="majorHAnsi" w:cstheme="majorHAnsi"/>
          <w:sz w:val="24"/>
          <w:szCs w:val="24"/>
          <w:u w:val="single"/>
          <w:lang w:val="en-US"/>
        </w:rPr>
      </w:pPr>
      <w:r w:rsidRPr="00676D63">
        <w:rPr>
          <w:rFonts w:asciiTheme="majorHAnsi" w:hAnsiTheme="majorHAnsi" w:cstheme="majorHAnsi"/>
          <w:b/>
          <w:bCs/>
          <w:sz w:val="24"/>
          <w:szCs w:val="24"/>
          <w:u w:val="single"/>
          <w:lang w:val="en-US"/>
        </w:rPr>
        <w:t>Note 2</w:t>
      </w:r>
      <w:r w:rsidRPr="006137B7">
        <w:rPr>
          <w:rFonts w:asciiTheme="majorHAnsi" w:hAnsiTheme="majorHAnsi" w:cstheme="majorHAnsi"/>
          <w:sz w:val="24"/>
          <w:szCs w:val="24"/>
          <w:u w:val="single"/>
          <w:lang w:val="en-US"/>
        </w:rPr>
        <w:t xml:space="preserve">: </w:t>
      </w:r>
      <w:r w:rsidR="00CF76F8" w:rsidRPr="006137B7">
        <w:rPr>
          <w:rFonts w:asciiTheme="majorHAnsi" w:hAnsiTheme="majorHAnsi" w:cstheme="majorHAnsi"/>
          <w:sz w:val="24"/>
          <w:szCs w:val="24"/>
          <w:u w:val="single"/>
          <w:lang w:val="en-US"/>
        </w:rPr>
        <w:t>Textbook and Supplies</w:t>
      </w:r>
    </w:p>
    <w:p w14:paraId="06DA8FD4" w14:textId="3A8B0ECD" w:rsidR="005D5EDC" w:rsidRDefault="001A1DFE" w:rsidP="004A5F2A">
      <w:pPr>
        <w:pStyle w:val="NoSpacing"/>
        <w:rPr>
          <w:rFonts w:asciiTheme="majorHAnsi" w:hAnsiTheme="majorHAnsi" w:cstheme="majorHAnsi"/>
          <w:sz w:val="24"/>
          <w:szCs w:val="24"/>
          <w:lang w:val="en-US"/>
        </w:rPr>
      </w:pPr>
      <w:r w:rsidRPr="006137B7">
        <w:rPr>
          <w:rFonts w:asciiTheme="majorHAnsi" w:hAnsiTheme="majorHAnsi" w:cstheme="majorHAnsi"/>
          <w:sz w:val="24"/>
          <w:szCs w:val="24"/>
          <w:lang w:val="en-US"/>
        </w:rPr>
        <w:t xml:space="preserve">In 2020-21 </w:t>
      </w:r>
      <w:r w:rsidR="00936F2E">
        <w:rPr>
          <w:rFonts w:asciiTheme="majorHAnsi" w:hAnsiTheme="majorHAnsi" w:cstheme="majorHAnsi"/>
          <w:sz w:val="24"/>
          <w:szCs w:val="24"/>
          <w:lang w:val="en-US"/>
        </w:rPr>
        <w:t xml:space="preserve">there were expenses </w:t>
      </w:r>
      <w:r w:rsidR="007B7EB3">
        <w:rPr>
          <w:rFonts w:asciiTheme="majorHAnsi" w:hAnsiTheme="majorHAnsi" w:cstheme="majorHAnsi"/>
          <w:sz w:val="24"/>
          <w:szCs w:val="24"/>
          <w:lang w:val="en-US"/>
        </w:rPr>
        <w:t xml:space="preserve">related to funds that were appropriated (approx. $600K) and </w:t>
      </w:r>
      <w:r w:rsidR="001A10E4">
        <w:rPr>
          <w:rFonts w:asciiTheme="majorHAnsi" w:hAnsiTheme="majorHAnsi" w:cstheme="majorHAnsi"/>
          <w:sz w:val="24"/>
          <w:szCs w:val="24"/>
          <w:lang w:val="en-US"/>
        </w:rPr>
        <w:t>an allocation for PPF funding (approx. $600K)</w:t>
      </w:r>
      <w:r w:rsidR="0006736E">
        <w:rPr>
          <w:rFonts w:asciiTheme="majorHAnsi" w:hAnsiTheme="majorHAnsi" w:cstheme="majorHAnsi"/>
          <w:sz w:val="24"/>
          <w:szCs w:val="24"/>
          <w:lang w:val="en-US"/>
        </w:rPr>
        <w:t xml:space="preserve">, this funding </w:t>
      </w:r>
      <w:r w:rsidR="007A639E">
        <w:rPr>
          <w:rFonts w:asciiTheme="majorHAnsi" w:hAnsiTheme="majorHAnsi" w:cstheme="majorHAnsi"/>
          <w:sz w:val="24"/>
          <w:szCs w:val="24"/>
          <w:lang w:val="en-US"/>
        </w:rPr>
        <w:t>is not available in the 2022-23 school year and therefore the budget decreased.</w:t>
      </w:r>
      <w:r w:rsidR="003C7EE5">
        <w:rPr>
          <w:rFonts w:asciiTheme="majorHAnsi" w:hAnsiTheme="majorHAnsi" w:cstheme="majorHAnsi"/>
          <w:sz w:val="24"/>
          <w:szCs w:val="24"/>
          <w:lang w:val="en-US"/>
        </w:rPr>
        <w:t xml:space="preserve">  Aside from this there was minimal change in related expenditures.</w:t>
      </w:r>
    </w:p>
    <w:p w14:paraId="092D7E16" w14:textId="57D96DF0" w:rsidR="007A639E" w:rsidRDefault="007A639E" w:rsidP="004A5F2A">
      <w:pPr>
        <w:pStyle w:val="NoSpacing"/>
        <w:rPr>
          <w:rFonts w:asciiTheme="majorHAnsi" w:hAnsiTheme="majorHAnsi" w:cstheme="majorHAnsi"/>
          <w:sz w:val="24"/>
          <w:szCs w:val="24"/>
          <w:lang w:val="en-US"/>
        </w:rPr>
      </w:pPr>
    </w:p>
    <w:p w14:paraId="4B5B69E0" w14:textId="77777777" w:rsidR="00676D63" w:rsidRDefault="00676D63" w:rsidP="004A5F2A">
      <w:pPr>
        <w:pStyle w:val="NoSpacing"/>
        <w:rPr>
          <w:rFonts w:asciiTheme="majorHAnsi" w:hAnsiTheme="majorHAnsi" w:cstheme="majorHAnsi"/>
          <w:sz w:val="24"/>
          <w:szCs w:val="24"/>
          <w:lang w:val="en-US"/>
        </w:rPr>
      </w:pPr>
    </w:p>
    <w:p w14:paraId="16C7886A" w14:textId="1AF937C4" w:rsidR="00B62B12" w:rsidRDefault="00B62B12" w:rsidP="004A5F2A">
      <w:pPr>
        <w:pStyle w:val="NoSpacing"/>
        <w:rPr>
          <w:rFonts w:asciiTheme="majorHAnsi" w:hAnsiTheme="majorHAnsi" w:cstheme="majorHAnsi"/>
          <w:sz w:val="24"/>
          <w:szCs w:val="24"/>
          <w:u w:val="single"/>
          <w:lang w:val="en-US"/>
        </w:rPr>
      </w:pPr>
      <w:r w:rsidRPr="00676D63">
        <w:rPr>
          <w:rFonts w:asciiTheme="majorHAnsi" w:hAnsiTheme="majorHAnsi" w:cstheme="majorHAnsi"/>
          <w:b/>
          <w:bCs/>
          <w:sz w:val="24"/>
          <w:szCs w:val="24"/>
          <w:u w:val="single"/>
          <w:lang w:val="en-US"/>
        </w:rPr>
        <w:t>Note 3</w:t>
      </w:r>
      <w:r w:rsidRPr="00B62B12">
        <w:rPr>
          <w:rFonts w:asciiTheme="majorHAnsi" w:hAnsiTheme="majorHAnsi" w:cstheme="majorHAnsi"/>
          <w:sz w:val="24"/>
          <w:szCs w:val="24"/>
          <w:u w:val="single"/>
          <w:lang w:val="en-US"/>
        </w:rPr>
        <w:t>: Computers</w:t>
      </w:r>
    </w:p>
    <w:p w14:paraId="25D28381" w14:textId="77777777" w:rsidR="00386896" w:rsidRPr="00BE352D" w:rsidRDefault="003C7EE5" w:rsidP="004A5F2A">
      <w:pPr>
        <w:pStyle w:val="NoSpacing"/>
        <w:rPr>
          <w:rFonts w:asciiTheme="majorHAnsi" w:hAnsiTheme="majorHAnsi" w:cstheme="majorHAnsi"/>
          <w:sz w:val="24"/>
          <w:szCs w:val="24"/>
          <w:lang w:val="en-US"/>
        </w:rPr>
      </w:pPr>
      <w:r w:rsidRPr="00BE352D">
        <w:rPr>
          <w:rFonts w:asciiTheme="majorHAnsi" w:hAnsiTheme="majorHAnsi" w:cstheme="majorHAnsi"/>
          <w:sz w:val="24"/>
          <w:szCs w:val="24"/>
          <w:lang w:val="en-US"/>
        </w:rPr>
        <w:t>In 2021-22 the</w:t>
      </w:r>
      <w:r w:rsidR="00061307" w:rsidRPr="00BE352D">
        <w:rPr>
          <w:rFonts w:asciiTheme="majorHAnsi" w:hAnsiTheme="majorHAnsi" w:cstheme="majorHAnsi"/>
          <w:sz w:val="24"/>
          <w:szCs w:val="24"/>
          <w:lang w:val="en-US"/>
        </w:rPr>
        <w:t xml:space="preserve"> board </w:t>
      </w:r>
      <w:r w:rsidR="00B724FC" w:rsidRPr="00BE352D">
        <w:rPr>
          <w:rFonts w:asciiTheme="majorHAnsi" w:hAnsiTheme="majorHAnsi" w:cstheme="majorHAnsi"/>
          <w:sz w:val="24"/>
          <w:szCs w:val="24"/>
          <w:lang w:val="en-US"/>
        </w:rPr>
        <w:t xml:space="preserve">received and </w:t>
      </w:r>
      <w:r w:rsidR="00061307" w:rsidRPr="00BE352D">
        <w:rPr>
          <w:rFonts w:asciiTheme="majorHAnsi" w:hAnsiTheme="majorHAnsi" w:cstheme="majorHAnsi"/>
          <w:sz w:val="24"/>
          <w:szCs w:val="24"/>
          <w:lang w:val="en-US"/>
        </w:rPr>
        <w:t xml:space="preserve">invested </w:t>
      </w:r>
      <w:r w:rsidR="00310040" w:rsidRPr="00BE352D">
        <w:rPr>
          <w:rFonts w:asciiTheme="majorHAnsi" w:hAnsiTheme="majorHAnsi" w:cstheme="majorHAnsi"/>
          <w:sz w:val="24"/>
          <w:szCs w:val="24"/>
          <w:lang w:val="en-US"/>
        </w:rPr>
        <w:t>a significant amount of PPF funding</w:t>
      </w:r>
      <w:r w:rsidR="003343FE" w:rsidRPr="00BE352D">
        <w:rPr>
          <w:rFonts w:asciiTheme="majorHAnsi" w:hAnsiTheme="majorHAnsi" w:cstheme="majorHAnsi"/>
          <w:sz w:val="24"/>
          <w:szCs w:val="24"/>
          <w:lang w:val="en-US"/>
        </w:rPr>
        <w:t xml:space="preserve"> and funds appropriated from the previous year</w:t>
      </w:r>
      <w:r w:rsidR="00310040" w:rsidRPr="00BE352D">
        <w:rPr>
          <w:rFonts w:asciiTheme="majorHAnsi" w:hAnsiTheme="majorHAnsi" w:cstheme="majorHAnsi"/>
          <w:sz w:val="24"/>
          <w:szCs w:val="24"/>
          <w:lang w:val="en-US"/>
        </w:rPr>
        <w:t xml:space="preserve"> to purchase additional devices in support of </w:t>
      </w:r>
      <w:r w:rsidR="00386896" w:rsidRPr="00BE352D">
        <w:rPr>
          <w:rFonts w:asciiTheme="majorHAnsi" w:hAnsiTheme="majorHAnsi" w:cstheme="majorHAnsi"/>
          <w:sz w:val="24"/>
          <w:szCs w:val="24"/>
          <w:lang w:val="en-US"/>
        </w:rPr>
        <w:t>two goals:</w:t>
      </w:r>
    </w:p>
    <w:p w14:paraId="6F056946" w14:textId="77777777" w:rsidR="003744FE" w:rsidRPr="00BE352D" w:rsidRDefault="001431D5" w:rsidP="00386896">
      <w:pPr>
        <w:pStyle w:val="NoSpacing"/>
        <w:numPr>
          <w:ilvl w:val="0"/>
          <w:numId w:val="44"/>
        </w:numPr>
        <w:rPr>
          <w:rFonts w:asciiTheme="majorHAnsi" w:hAnsiTheme="majorHAnsi" w:cstheme="majorHAnsi"/>
          <w:sz w:val="24"/>
          <w:szCs w:val="24"/>
          <w:lang w:val="en-US"/>
        </w:rPr>
      </w:pPr>
      <w:r w:rsidRPr="00BE352D">
        <w:rPr>
          <w:rFonts w:asciiTheme="majorHAnsi" w:hAnsiTheme="majorHAnsi" w:cstheme="majorHAnsi"/>
          <w:sz w:val="24"/>
          <w:szCs w:val="24"/>
          <w:lang w:val="en-US"/>
        </w:rPr>
        <w:t>Increase the number of devices available to meet the requirements for students</w:t>
      </w:r>
      <w:r w:rsidR="005216D9" w:rsidRPr="00BE352D">
        <w:rPr>
          <w:rFonts w:asciiTheme="majorHAnsi" w:hAnsiTheme="majorHAnsi" w:cstheme="majorHAnsi"/>
          <w:sz w:val="24"/>
          <w:szCs w:val="24"/>
          <w:lang w:val="en-US"/>
        </w:rPr>
        <w:t xml:space="preserve"> to participate in </w:t>
      </w:r>
      <w:r w:rsidR="00310040" w:rsidRPr="00BE352D">
        <w:rPr>
          <w:rFonts w:asciiTheme="majorHAnsi" w:hAnsiTheme="majorHAnsi" w:cstheme="majorHAnsi"/>
          <w:sz w:val="24"/>
          <w:szCs w:val="24"/>
          <w:lang w:val="en-US"/>
        </w:rPr>
        <w:t>remote learning</w:t>
      </w:r>
      <w:r w:rsidR="005216D9" w:rsidRPr="00BE352D">
        <w:rPr>
          <w:rFonts w:asciiTheme="majorHAnsi" w:hAnsiTheme="majorHAnsi" w:cstheme="majorHAnsi"/>
          <w:sz w:val="24"/>
          <w:szCs w:val="24"/>
          <w:lang w:val="en-US"/>
        </w:rPr>
        <w:t xml:space="preserve"> as a result of the impact of COVID-19.  </w:t>
      </w:r>
    </w:p>
    <w:p w14:paraId="11DC2E42" w14:textId="77777777" w:rsidR="00415E31" w:rsidRPr="00BE352D" w:rsidRDefault="003744FE" w:rsidP="00386896">
      <w:pPr>
        <w:pStyle w:val="NoSpacing"/>
        <w:numPr>
          <w:ilvl w:val="0"/>
          <w:numId w:val="44"/>
        </w:numPr>
        <w:rPr>
          <w:rFonts w:asciiTheme="majorHAnsi" w:hAnsiTheme="majorHAnsi" w:cstheme="majorHAnsi"/>
          <w:sz w:val="24"/>
          <w:szCs w:val="24"/>
          <w:lang w:val="en-US"/>
        </w:rPr>
      </w:pPr>
      <w:r w:rsidRPr="00BE352D">
        <w:rPr>
          <w:rFonts w:asciiTheme="majorHAnsi" w:hAnsiTheme="majorHAnsi" w:cstheme="majorHAnsi"/>
          <w:sz w:val="24"/>
          <w:szCs w:val="24"/>
          <w:lang w:val="en-US"/>
        </w:rPr>
        <w:t>Increase our overall device</w:t>
      </w:r>
      <w:r w:rsidR="00B15D23" w:rsidRPr="00BE352D">
        <w:rPr>
          <w:rFonts w:asciiTheme="majorHAnsi" w:hAnsiTheme="majorHAnsi" w:cstheme="majorHAnsi"/>
          <w:sz w:val="24"/>
          <w:szCs w:val="24"/>
          <w:lang w:val="en-US"/>
        </w:rPr>
        <w:t xml:space="preserve"> to student</w:t>
      </w:r>
      <w:r w:rsidRPr="00BE352D">
        <w:rPr>
          <w:rFonts w:asciiTheme="majorHAnsi" w:hAnsiTheme="majorHAnsi" w:cstheme="majorHAnsi"/>
          <w:sz w:val="24"/>
          <w:szCs w:val="24"/>
          <w:lang w:val="en-US"/>
        </w:rPr>
        <w:t xml:space="preserve"> ratio </w:t>
      </w:r>
      <w:r w:rsidR="00B15D23" w:rsidRPr="00BE352D">
        <w:rPr>
          <w:rFonts w:asciiTheme="majorHAnsi" w:hAnsiTheme="majorHAnsi" w:cstheme="majorHAnsi"/>
          <w:sz w:val="24"/>
          <w:szCs w:val="24"/>
          <w:lang w:val="en-US"/>
        </w:rPr>
        <w:t>to 2:1</w:t>
      </w:r>
      <w:r w:rsidR="00415E31" w:rsidRPr="00BE352D">
        <w:rPr>
          <w:rFonts w:asciiTheme="majorHAnsi" w:hAnsiTheme="majorHAnsi" w:cstheme="majorHAnsi"/>
          <w:sz w:val="24"/>
          <w:szCs w:val="24"/>
          <w:lang w:val="en-US"/>
        </w:rPr>
        <w:t xml:space="preserve"> to</w:t>
      </w:r>
      <w:r w:rsidRPr="00BE352D">
        <w:rPr>
          <w:rFonts w:asciiTheme="majorHAnsi" w:hAnsiTheme="majorHAnsi" w:cstheme="majorHAnsi"/>
          <w:sz w:val="24"/>
          <w:szCs w:val="24"/>
          <w:lang w:val="en-US"/>
        </w:rPr>
        <w:t xml:space="preserve"> enhance student learning wit</w:t>
      </w:r>
      <w:r w:rsidR="00B15D23" w:rsidRPr="00BE352D">
        <w:rPr>
          <w:rFonts w:asciiTheme="majorHAnsi" w:hAnsiTheme="majorHAnsi" w:cstheme="majorHAnsi"/>
          <w:sz w:val="24"/>
          <w:szCs w:val="24"/>
          <w:lang w:val="en-US"/>
        </w:rPr>
        <w:t>hin the classroom.</w:t>
      </w:r>
    </w:p>
    <w:p w14:paraId="65DD0ECD" w14:textId="19CEBEBC" w:rsidR="00061307" w:rsidRDefault="00952F81" w:rsidP="00415E31">
      <w:pPr>
        <w:pStyle w:val="NoSpacing"/>
        <w:rPr>
          <w:rFonts w:asciiTheme="majorHAnsi" w:hAnsiTheme="majorHAnsi" w:cstheme="majorHAnsi"/>
          <w:sz w:val="24"/>
          <w:szCs w:val="24"/>
          <w:lang w:val="en-US"/>
        </w:rPr>
      </w:pPr>
      <w:r w:rsidRPr="00BE352D">
        <w:rPr>
          <w:rFonts w:asciiTheme="majorHAnsi" w:hAnsiTheme="majorHAnsi" w:cstheme="majorHAnsi"/>
          <w:sz w:val="24"/>
          <w:szCs w:val="24"/>
          <w:lang w:val="en-US"/>
        </w:rPr>
        <w:t xml:space="preserve">This </w:t>
      </w:r>
      <w:r w:rsidR="00433676" w:rsidRPr="00BE352D">
        <w:rPr>
          <w:rFonts w:asciiTheme="majorHAnsi" w:hAnsiTheme="majorHAnsi" w:cstheme="majorHAnsi"/>
          <w:sz w:val="24"/>
          <w:szCs w:val="24"/>
          <w:lang w:val="en-US"/>
        </w:rPr>
        <w:t>funding is not available in 2022-23</w:t>
      </w:r>
      <w:r w:rsidR="00644DC7" w:rsidRPr="00BE352D">
        <w:rPr>
          <w:rFonts w:asciiTheme="majorHAnsi" w:hAnsiTheme="majorHAnsi" w:cstheme="majorHAnsi"/>
          <w:sz w:val="24"/>
          <w:szCs w:val="24"/>
          <w:lang w:val="en-US"/>
        </w:rPr>
        <w:t xml:space="preserve"> and therefore there is a decrease in this expense area</w:t>
      </w:r>
      <w:r w:rsidR="00E450B4" w:rsidRPr="00BE352D">
        <w:rPr>
          <w:rFonts w:asciiTheme="majorHAnsi" w:hAnsiTheme="majorHAnsi" w:cstheme="majorHAnsi"/>
          <w:sz w:val="24"/>
          <w:szCs w:val="24"/>
          <w:lang w:val="en-US"/>
        </w:rPr>
        <w:t xml:space="preserve"> of</w:t>
      </w:r>
      <w:r w:rsidR="00E450B4">
        <w:rPr>
          <w:rFonts w:asciiTheme="majorHAnsi" w:hAnsiTheme="majorHAnsi" w:cstheme="majorHAnsi"/>
          <w:sz w:val="24"/>
          <w:szCs w:val="24"/>
          <w:lang w:val="en-US"/>
        </w:rPr>
        <w:t xml:space="preserve"> just over $600K</w:t>
      </w:r>
      <w:r w:rsidR="00FB70C2">
        <w:rPr>
          <w:rFonts w:asciiTheme="majorHAnsi" w:hAnsiTheme="majorHAnsi" w:cstheme="majorHAnsi"/>
          <w:sz w:val="24"/>
          <w:szCs w:val="24"/>
          <w:lang w:val="en-US"/>
        </w:rPr>
        <w:t xml:space="preserve">.  It is important to note however with this sudden increase in devices </w:t>
      </w:r>
      <w:r w:rsidR="00D665B5">
        <w:rPr>
          <w:rFonts w:asciiTheme="majorHAnsi" w:hAnsiTheme="majorHAnsi" w:cstheme="majorHAnsi"/>
          <w:sz w:val="24"/>
          <w:szCs w:val="24"/>
          <w:lang w:val="en-US"/>
        </w:rPr>
        <w:t>resulted in the requirement for us to reassess our replacement plan</w:t>
      </w:r>
      <w:r w:rsidR="00C927A5">
        <w:rPr>
          <w:rFonts w:asciiTheme="majorHAnsi" w:hAnsiTheme="majorHAnsi" w:cstheme="majorHAnsi"/>
          <w:sz w:val="24"/>
          <w:szCs w:val="24"/>
          <w:lang w:val="en-US"/>
        </w:rPr>
        <w:t xml:space="preserve">.  The costs to replace devices is now significantly more than </w:t>
      </w:r>
      <w:r w:rsidR="000858B5">
        <w:rPr>
          <w:rFonts w:asciiTheme="majorHAnsi" w:hAnsiTheme="majorHAnsi" w:cstheme="majorHAnsi"/>
          <w:sz w:val="24"/>
          <w:szCs w:val="24"/>
          <w:lang w:val="en-US"/>
        </w:rPr>
        <w:t xml:space="preserve">originally planned and so the strategy we undertook was to put funds aside each year so that when we reach the year of </w:t>
      </w:r>
      <w:r w:rsidR="00AD5EEF">
        <w:rPr>
          <w:rFonts w:asciiTheme="majorHAnsi" w:hAnsiTheme="majorHAnsi" w:cstheme="majorHAnsi"/>
          <w:sz w:val="24"/>
          <w:szCs w:val="24"/>
          <w:lang w:val="en-US"/>
        </w:rPr>
        <w:t>replacement,</w:t>
      </w:r>
      <w:r w:rsidR="00623360">
        <w:rPr>
          <w:rFonts w:asciiTheme="majorHAnsi" w:hAnsiTheme="majorHAnsi" w:cstheme="majorHAnsi"/>
          <w:sz w:val="24"/>
          <w:szCs w:val="24"/>
          <w:lang w:val="en-US"/>
        </w:rPr>
        <w:t xml:space="preserve"> we are ensured to have the funds to do this.  It also </w:t>
      </w:r>
      <w:r w:rsidR="001904F6">
        <w:rPr>
          <w:rFonts w:asciiTheme="majorHAnsi" w:hAnsiTheme="majorHAnsi" w:cstheme="majorHAnsi"/>
          <w:sz w:val="24"/>
          <w:szCs w:val="24"/>
          <w:lang w:val="en-US"/>
        </w:rPr>
        <w:t>levels</w:t>
      </w:r>
      <w:r w:rsidR="00623360">
        <w:rPr>
          <w:rFonts w:asciiTheme="majorHAnsi" w:hAnsiTheme="majorHAnsi" w:cstheme="majorHAnsi"/>
          <w:sz w:val="24"/>
          <w:szCs w:val="24"/>
          <w:lang w:val="en-US"/>
        </w:rPr>
        <w:t xml:space="preserve"> out spending and </w:t>
      </w:r>
      <w:r w:rsidR="00BE352D">
        <w:rPr>
          <w:rFonts w:asciiTheme="majorHAnsi" w:hAnsiTheme="majorHAnsi" w:cstheme="majorHAnsi"/>
          <w:sz w:val="24"/>
          <w:szCs w:val="24"/>
          <w:lang w:val="en-US"/>
        </w:rPr>
        <w:t>promotes more effective budgeting.</w:t>
      </w:r>
    </w:p>
    <w:p w14:paraId="68D9F58D" w14:textId="77777777" w:rsidR="00990813" w:rsidRPr="00061307" w:rsidRDefault="00990813" w:rsidP="004A5F2A">
      <w:pPr>
        <w:pStyle w:val="NoSpacing"/>
        <w:rPr>
          <w:rFonts w:asciiTheme="majorHAnsi" w:hAnsiTheme="majorHAnsi" w:cstheme="majorHAnsi"/>
          <w:sz w:val="24"/>
          <w:szCs w:val="24"/>
          <w:lang w:val="en-US"/>
        </w:rPr>
      </w:pPr>
    </w:p>
    <w:p w14:paraId="69581ED5" w14:textId="1FC6AD89" w:rsidR="00EE3519" w:rsidRPr="009D2164" w:rsidRDefault="00EE3519" w:rsidP="00EE3519">
      <w:pPr>
        <w:spacing w:after="0" w:line="240" w:lineRule="auto"/>
        <w:rPr>
          <w:rFonts w:asciiTheme="majorHAnsi" w:eastAsia="Times New Roman" w:hAnsiTheme="majorHAnsi" w:cstheme="majorHAnsi"/>
          <w:sz w:val="24"/>
          <w:szCs w:val="24"/>
          <w:u w:val="single"/>
        </w:rPr>
      </w:pPr>
      <w:r w:rsidRPr="00676D63">
        <w:rPr>
          <w:rFonts w:asciiTheme="majorHAnsi" w:eastAsia="Times New Roman" w:hAnsiTheme="majorHAnsi" w:cstheme="majorHAnsi"/>
          <w:b/>
          <w:bCs/>
          <w:sz w:val="24"/>
          <w:szCs w:val="24"/>
          <w:u w:val="single"/>
        </w:rPr>
        <w:t xml:space="preserve">Note </w:t>
      </w:r>
      <w:r w:rsidR="00947E0B" w:rsidRPr="00676D63">
        <w:rPr>
          <w:rFonts w:asciiTheme="majorHAnsi" w:eastAsia="Times New Roman" w:hAnsiTheme="majorHAnsi" w:cstheme="majorHAnsi"/>
          <w:b/>
          <w:bCs/>
          <w:sz w:val="24"/>
          <w:szCs w:val="24"/>
          <w:u w:val="single"/>
        </w:rPr>
        <w:t>4</w:t>
      </w:r>
      <w:r w:rsidRPr="009D2164">
        <w:rPr>
          <w:rFonts w:asciiTheme="majorHAnsi" w:eastAsia="Times New Roman" w:hAnsiTheme="majorHAnsi" w:cstheme="majorHAnsi"/>
          <w:sz w:val="24"/>
          <w:szCs w:val="24"/>
          <w:u w:val="single"/>
        </w:rPr>
        <w:t xml:space="preserve">: </w:t>
      </w:r>
      <w:r w:rsidR="004E2DDF">
        <w:rPr>
          <w:rFonts w:asciiTheme="majorHAnsi" w:eastAsia="Times New Roman" w:hAnsiTheme="majorHAnsi" w:cstheme="majorHAnsi"/>
          <w:sz w:val="24"/>
          <w:szCs w:val="24"/>
          <w:u w:val="single"/>
        </w:rPr>
        <w:t>School Office</w:t>
      </w:r>
    </w:p>
    <w:p w14:paraId="74A3AE83" w14:textId="14856031" w:rsidR="00EE3519" w:rsidRDefault="00EE3519" w:rsidP="00EE3519">
      <w:pPr>
        <w:spacing w:after="0" w:line="240" w:lineRule="auto"/>
        <w:rPr>
          <w:rFonts w:asciiTheme="majorHAnsi" w:eastAsia="Times New Roman" w:hAnsiTheme="majorHAnsi" w:cstheme="majorHAnsi"/>
          <w:sz w:val="24"/>
          <w:szCs w:val="24"/>
          <w:lang w:val="en-US"/>
        </w:rPr>
      </w:pPr>
      <w:r w:rsidRPr="009D2164">
        <w:rPr>
          <w:rFonts w:asciiTheme="majorHAnsi" w:eastAsia="Times New Roman" w:hAnsiTheme="majorHAnsi" w:cstheme="majorHAnsi"/>
          <w:sz w:val="24"/>
          <w:szCs w:val="24"/>
          <w:lang w:val="en-US"/>
        </w:rPr>
        <w:t>Th</w:t>
      </w:r>
      <w:r w:rsidR="005D481B">
        <w:rPr>
          <w:rFonts w:asciiTheme="majorHAnsi" w:eastAsia="Times New Roman" w:hAnsiTheme="majorHAnsi" w:cstheme="majorHAnsi"/>
          <w:sz w:val="24"/>
          <w:szCs w:val="24"/>
          <w:lang w:val="en-US"/>
        </w:rPr>
        <w:t>e</w:t>
      </w:r>
      <w:r w:rsidRPr="009D2164">
        <w:rPr>
          <w:rFonts w:asciiTheme="majorHAnsi" w:eastAsia="Times New Roman" w:hAnsiTheme="majorHAnsi" w:cstheme="majorHAnsi"/>
          <w:sz w:val="24"/>
          <w:szCs w:val="24"/>
          <w:lang w:val="en-US"/>
        </w:rPr>
        <w:t xml:space="preserve"> School Foundation grant supports the cost of in-school administration and leadership.  The board has made it a priority to maintain expenses to a level that can be offset by this grant to ensure that administration expenses are reasonable and within the guidelines provided.  </w:t>
      </w:r>
      <w:r w:rsidR="000B41A6">
        <w:rPr>
          <w:rFonts w:asciiTheme="majorHAnsi" w:eastAsia="Times New Roman" w:hAnsiTheme="majorHAnsi" w:cstheme="majorHAnsi"/>
          <w:sz w:val="24"/>
          <w:szCs w:val="24"/>
          <w:lang w:val="en-US"/>
        </w:rPr>
        <w:t>The increase in the projected expenses</w:t>
      </w:r>
      <w:r w:rsidR="00D879F0">
        <w:rPr>
          <w:rFonts w:asciiTheme="majorHAnsi" w:eastAsia="Times New Roman" w:hAnsiTheme="majorHAnsi" w:cstheme="majorHAnsi"/>
          <w:sz w:val="24"/>
          <w:szCs w:val="24"/>
          <w:lang w:val="en-US"/>
        </w:rPr>
        <w:t xml:space="preserve"> reflects an increase</w:t>
      </w:r>
      <w:r w:rsidR="00E0586A">
        <w:rPr>
          <w:rFonts w:asciiTheme="majorHAnsi" w:eastAsia="Times New Roman" w:hAnsiTheme="majorHAnsi" w:cstheme="majorHAnsi"/>
          <w:sz w:val="24"/>
          <w:szCs w:val="24"/>
          <w:lang w:val="en-US"/>
        </w:rPr>
        <w:t xml:space="preserve"> in school secretaries of 3.22FTE</w:t>
      </w:r>
      <w:r w:rsidR="007154A4">
        <w:rPr>
          <w:rFonts w:asciiTheme="majorHAnsi" w:eastAsia="Times New Roman" w:hAnsiTheme="majorHAnsi" w:cstheme="majorHAnsi"/>
          <w:sz w:val="24"/>
          <w:szCs w:val="24"/>
          <w:lang w:val="en-US"/>
        </w:rPr>
        <w:t xml:space="preserve"> to assist schools with the increasing demands </w:t>
      </w:r>
      <w:r w:rsidR="00A30295">
        <w:rPr>
          <w:rFonts w:asciiTheme="majorHAnsi" w:eastAsia="Times New Roman" w:hAnsiTheme="majorHAnsi" w:cstheme="majorHAnsi"/>
          <w:sz w:val="24"/>
          <w:szCs w:val="24"/>
          <w:lang w:val="en-US"/>
        </w:rPr>
        <w:t>(</w:t>
      </w:r>
      <w:r w:rsidR="00243B42">
        <w:rPr>
          <w:rFonts w:asciiTheme="majorHAnsi" w:eastAsia="Times New Roman" w:hAnsiTheme="majorHAnsi" w:cstheme="majorHAnsi"/>
          <w:sz w:val="24"/>
          <w:szCs w:val="24"/>
          <w:lang w:val="en-US"/>
        </w:rPr>
        <w:t>St. Charles, St. Francis, Holy Cross</w:t>
      </w:r>
      <w:r w:rsidR="00B949A0">
        <w:rPr>
          <w:rFonts w:asciiTheme="majorHAnsi" w:eastAsia="Times New Roman" w:hAnsiTheme="majorHAnsi" w:cstheme="majorHAnsi"/>
          <w:sz w:val="24"/>
          <w:szCs w:val="24"/>
          <w:lang w:val="en-US"/>
        </w:rPr>
        <w:t>, Holy Trinity,</w:t>
      </w:r>
      <w:r w:rsidR="00243B42">
        <w:rPr>
          <w:rFonts w:asciiTheme="majorHAnsi" w:eastAsia="Times New Roman" w:hAnsiTheme="majorHAnsi" w:cstheme="majorHAnsi"/>
          <w:sz w:val="24"/>
          <w:szCs w:val="24"/>
          <w:lang w:val="en-US"/>
        </w:rPr>
        <w:t xml:space="preserve"> and Bishop Alexander Carter</w:t>
      </w:r>
      <w:r w:rsidR="00A30295">
        <w:rPr>
          <w:rFonts w:asciiTheme="majorHAnsi" w:eastAsia="Times New Roman" w:hAnsiTheme="majorHAnsi" w:cstheme="majorHAnsi"/>
          <w:sz w:val="24"/>
          <w:szCs w:val="24"/>
          <w:lang w:val="en-US"/>
        </w:rPr>
        <w:t>)</w:t>
      </w:r>
      <w:r w:rsidR="00B949A0">
        <w:rPr>
          <w:rFonts w:asciiTheme="majorHAnsi" w:eastAsia="Times New Roman" w:hAnsiTheme="majorHAnsi" w:cstheme="majorHAnsi"/>
          <w:sz w:val="24"/>
          <w:szCs w:val="24"/>
          <w:lang w:val="en-US"/>
        </w:rPr>
        <w:t>.</w:t>
      </w:r>
    </w:p>
    <w:p w14:paraId="75DF4A4F" w14:textId="77777777" w:rsidR="00220112" w:rsidRDefault="00220112" w:rsidP="000B69C9">
      <w:pPr>
        <w:pStyle w:val="NoSpacing"/>
        <w:rPr>
          <w:rFonts w:asciiTheme="majorHAnsi" w:hAnsiTheme="majorHAnsi" w:cstheme="majorHAnsi"/>
          <w:u w:val="single"/>
          <w:lang w:val="en-US"/>
        </w:rPr>
      </w:pPr>
    </w:p>
    <w:p w14:paraId="17A2B6D2" w14:textId="4F4BA898" w:rsidR="00243424" w:rsidRPr="000B69C9" w:rsidRDefault="00243424" w:rsidP="000B69C9">
      <w:pPr>
        <w:pStyle w:val="NoSpacing"/>
        <w:rPr>
          <w:rFonts w:asciiTheme="majorHAnsi" w:hAnsiTheme="majorHAnsi" w:cstheme="majorHAnsi"/>
          <w:u w:val="single"/>
          <w:lang w:val="en-US"/>
        </w:rPr>
      </w:pPr>
      <w:r w:rsidRPr="00676D63">
        <w:rPr>
          <w:rFonts w:asciiTheme="majorHAnsi" w:hAnsiTheme="majorHAnsi" w:cstheme="majorHAnsi"/>
          <w:b/>
          <w:bCs/>
          <w:u w:val="single"/>
          <w:lang w:val="en-US"/>
        </w:rPr>
        <w:lastRenderedPageBreak/>
        <w:t>Note 5</w:t>
      </w:r>
      <w:r w:rsidRPr="000B69C9">
        <w:rPr>
          <w:rFonts w:asciiTheme="majorHAnsi" w:hAnsiTheme="majorHAnsi" w:cstheme="majorHAnsi"/>
          <w:u w:val="single"/>
          <w:lang w:val="en-US"/>
        </w:rPr>
        <w:t>: Coordinators and Consultants</w:t>
      </w:r>
    </w:p>
    <w:p w14:paraId="0C8F5A33" w14:textId="08C1D4BA" w:rsidR="000B69C9" w:rsidRPr="00A3349D" w:rsidRDefault="00B15444" w:rsidP="00A3349D">
      <w:pPr>
        <w:rPr>
          <w:rFonts w:asciiTheme="majorHAnsi" w:hAnsiTheme="majorHAnsi" w:cstheme="majorHAnsi"/>
          <w:lang w:val="en-US"/>
        </w:rPr>
      </w:pPr>
      <w:r w:rsidRPr="00A3349D">
        <w:rPr>
          <w:rFonts w:asciiTheme="majorHAnsi" w:hAnsiTheme="majorHAnsi" w:cstheme="majorHAnsi"/>
          <w:lang w:val="en-US"/>
        </w:rPr>
        <w:t>There was a significant increase in the coordinator/consultant line</w:t>
      </w:r>
      <w:r w:rsidR="00BE4ABE" w:rsidRPr="00A3349D">
        <w:rPr>
          <w:rFonts w:asciiTheme="majorHAnsi" w:hAnsiTheme="majorHAnsi" w:cstheme="majorHAnsi"/>
          <w:lang w:val="en-US"/>
        </w:rPr>
        <w:t xml:space="preserve"> resulting from new programming investment for the 2022-23 school year, which will be assessed</w:t>
      </w:r>
      <w:r w:rsidR="000D4E8F" w:rsidRPr="00A3349D">
        <w:rPr>
          <w:rFonts w:asciiTheme="majorHAnsi" w:hAnsiTheme="majorHAnsi" w:cstheme="majorHAnsi"/>
          <w:lang w:val="en-US"/>
        </w:rPr>
        <w:t xml:space="preserve"> for effectiveness as part of next </w:t>
      </w:r>
      <w:proofErr w:type="spellStart"/>
      <w:r w:rsidR="000D4E8F" w:rsidRPr="00A3349D">
        <w:rPr>
          <w:rFonts w:asciiTheme="majorHAnsi" w:hAnsiTheme="majorHAnsi" w:cstheme="majorHAnsi"/>
          <w:lang w:val="en-US"/>
        </w:rPr>
        <w:t>years</w:t>
      </w:r>
      <w:proofErr w:type="spellEnd"/>
      <w:r w:rsidR="000D4E8F" w:rsidRPr="00A3349D">
        <w:rPr>
          <w:rFonts w:asciiTheme="majorHAnsi" w:hAnsiTheme="majorHAnsi" w:cstheme="majorHAnsi"/>
          <w:lang w:val="en-US"/>
        </w:rPr>
        <w:t xml:space="preserve"> budget process.  This investment is </w:t>
      </w:r>
      <w:r w:rsidR="009E4736" w:rsidRPr="00A3349D">
        <w:rPr>
          <w:rFonts w:asciiTheme="majorHAnsi" w:hAnsiTheme="majorHAnsi" w:cstheme="majorHAnsi"/>
          <w:lang w:val="en-US"/>
        </w:rPr>
        <w:t>for two types of positions</w:t>
      </w:r>
      <w:r w:rsidR="00406AEC" w:rsidRPr="00A3349D">
        <w:rPr>
          <w:rFonts w:asciiTheme="majorHAnsi" w:hAnsiTheme="majorHAnsi" w:cstheme="majorHAnsi"/>
          <w:lang w:val="en-US"/>
        </w:rPr>
        <w:t>.  The first is Literacy coaches for</w:t>
      </w:r>
      <w:r w:rsidR="001416A2" w:rsidRPr="00A3349D">
        <w:rPr>
          <w:rFonts w:asciiTheme="majorHAnsi" w:hAnsiTheme="majorHAnsi" w:cstheme="majorHAnsi"/>
          <w:lang w:val="en-US"/>
        </w:rPr>
        <w:t xml:space="preserve"> our </w:t>
      </w:r>
      <w:r w:rsidR="000A5951" w:rsidRPr="00A3349D">
        <w:rPr>
          <w:rFonts w:asciiTheme="majorHAnsi" w:hAnsiTheme="majorHAnsi" w:cstheme="majorHAnsi"/>
          <w:lang w:val="en-US"/>
        </w:rPr>
        <w:t xml:space="preserve">grade </w:t>
      </w:r>
      <w:r w:rsidR="001416A2" w:rsidRPr="00A3349D">
        <w:rPr>
          <w:rFonts w:asciiTheme="majorHAnsi" w:hAnsiTheme="majorHAnsi" w:cstheme="majorHAnsi"/>
          <w:lang w:val="en-US"/>
        </w:rPr>
        <w:t>K-6 schools</w:t>
      </w:r>
      <w:r w:rsidR="008137BB" w:rsidRPr="00A3349D">
        <w:rPr>
          <w:rFonts w:asciiTheme="majorHAnsi" w:hAnsiTheme="majorHAnsi" w:cstheme="majorHAnsi"/>
          <w:lang w:val="en-US"/>
        </w:rPr>
        <w:t xml:space="preserve">, for which there will be a total of </w:t>
      </w:r>
      <w:r w:rsidR="00280FC6" w:rsidRPr="00A3349D">
        <w:rPr>
          <w:rFonts w:asciiTheme="majorHAnsi" w:hAnsiTheme="majorHAnsi" w:cstheme="majorHAnsi"/>
          <w:lang w:val="en-US"/>
        </w:rPr>
        <w:t xml:space="preserve">3.9 FTE.  </w:t>
      </w:r>
      <w:r w:rsidR="0004259B" w:rsidRPr="00A3349D">
        <w:rPr>
          <w:rFonts w:asciiTheme="majorHAnsi" w:hAnsiTheme="majorHAnsi" w:cstheme="majorHAnsi"/>
          <w:lang w:val="en-US"/>
        </w:rPr>
        <w:t xml:space="preserve">The </w:t>
      </w:r>
      <w:r w:rsidR="00E4028D" w:rsidRPr="00A3349D">
        <w:rPr>
          <w:rFonts w:asciiTheme="majorHAnsi" w:hAnsiTheme="majorHAnsi" w:cstheme="majorHAnsi"/>
          <w:lang w:val="en-US"/>
        </w:rPr>
        <w:t>second is Technology Enabled Learning Facilitators</w:t>
      </w:r>
      <w:r w:rsidR="000A5951" w:rsidRPr="00A3349D">
        <w:rPr>
          <w:rFonts w:asciiTheme="majorHAnsi" w:hAnsiTheme="majorHAnsi" w:cstheme="majorHAnsi"/>
          <w:lang w:val="en-US"/>
        </w:rPr>
        <w:t xml:space="preserve"> for our grade 7-12 schools</w:t>
      </w:r>
      <w:r w:rsidR="00626722" w:rsidRPr="00A3349D">
        <w:rPr>
          <w:rFonts w:asciiTheme="majorHAnsi" w:hAnsiTheme="majorHAnsi" w:cstheme="majorHAnsi"/>
          <w:lang w:val="en-US"/>
        </w:rPr>
        <w:t xml:space="preserve">, the positions will total 3.5FTE.  </w:t>
      </w:r>
      <w:r w:rsidR="00280FC6" w:rsidRPr="00A3349D">
        <w:rPr>
          <w:rFonts w:asciiTheme="majorHAnsi" w:hAnsiTheme="majorHAnsi" w:cstheme="majorHAnsi"/>
          <w:lang w:val="en-US"/>
        </w:rPr>
        <w:t xml:space="preserve">These positions are school embedded to ensure that each school has </w:t>
      </w:r>
      <w:r w:rsidR="0004259B" w:rsidRPr="00A3349D">
        <w:rPr>
          <w:rFonts w:asciiTheme="majorHAnsi" w:hAnsiTheme="majorHAnsi" w:cstheme="majorHAnsi"/>
          <w:lang w:val="en-US"/>
        </w:rPr>
        <w:t>access to these services.</w:t>
      </w:r>
      <w:r w:rsidR="0041114F" w:rsidRPr="00A3349D">
        <w:rPr>
          <w:rFonts w:asciiTheme="majorHAnsi" w:hAnsiTheme="majorHAnsi" w:cstheme="majorHAnsi"/>
          <w:lang w:val="en-US"/>
        </w:rPr>
        <w:t xml:space="preserve">  The board will also invest in an FSL (French as a Second Language) consultant in 2022-23</w:t>
      </w:r>
      <w:r w:rsidR="00974A74" w:rsidRPr="00A3349D">
        <w:rPr>
          <w:rFonts w:asciiTheme="majorHAnsi" w:hAnsiTheme="majorHAnsi" w:cstheme="majorHAnsi"/>
          <w:lang w:val="en-US"/>
        </w:rPr>
        <w:t>.</w:t>
      </w:r>
    </w:p>
    <w:p w14:paraId="26798B39" w14:textId="00942751" w:rsidR="00F47796" w:rsidRPr="000B69C9" w:rsidRDefault="00F47796" w:rsidP="00F47796">
      <w:pPr>
        <w:pStyle w:val="NoSpacing"/>
        <w:rPr>
          <w:rFonts w:asciiTheme="majorHAnsi" w:hAnsiTheme="majorHAnsi" w:cstheme="majorHAnsi"/>
          <w:u w:val="single"/>
          <w:lang w:val="en-US"/>
        </w:rPr>
      </w:pPr>
      <w:r w:rsidRPr="00676D63">
        <w:rPr>
          <w:rFonts w:asciiTheme="majorHAnsi" w:hAnsiTheme="majorHAnsi" w:cstheme="majorHAnsi"/>
          <w:b/>
          <w:bCs/>
          <w:u w:val="single"/>
          <w:lang w:val="en-US"/>
        </w:rPr>
        <w:t xml:space="preserve">Note </w:t>
      </w:r>
      <w:r w:rsidR="00125F0C" w:rsidRPr="00676D63">
        <w:rPr>
          <w:rFonts w:asciiTheme="majorHAnsi" w:hAnsiTheme="majorHAnsi" w:cstheme="majorHAnsi"/>
          <w:b/>
          <w:bCs/>
          <w:u w:val="single"/>
          <w:lang w:val="en-US"/>
        </w:rPr>
        <w:t>6</w:t>
      </w:r>
      <w:r w:rsidRPr="000B69C9">
        <w:rPr>
          <w:rFonts w:asciiTheme="majorHAnsi" w:hAnsiTheme="majorHAnsi" w:cstheme="majorHAnsi"/>
          <w:u w:val="single"/>
          <w:lang w:val="en-US"/>
        </w:rPr>
        <w:t>: Co</w:t>
      </w:r>
      <w:r w:rsidR="00125F0C">
        <w:rPr>
          <w:rFonts w:asciiTheme="majorHAnsi" w:hAnsiTheme="majorHAnsi" w:cstheme="majorHAnsi"/>
          <w:u w:val="single"/>
          <w:lang w:val="en-US"/>
        </w:rPr>
        <w:t>ntinuing Education</w:t>
      </w:r>
    </w:p>
    <w:p w14:paraId="6ADB7FD0" w14:textId="0A20F0D3" w:rsidR="00F47796" w:rsidRPr="00F47796" w:rsidRDefault="00F47796" w:rsidP="00F47796">
      <w:pPr>
        <w:rPr>
          <w:rFonts w:asciiTheme="majorHAnsi" w:hAnsiTheme="majorHAnsi" w:cstheme="majorHAnsi"/>
          <w:lang w:val="en-US"/>
        </w:rPr>
      </w:pPr>
      <w:r w:rsidRPr="00F47796">
        <w:rPr>
          <w:rFonts w:asciiTheme="majorHAnsi" w:hAnsiTheme="majorHAnsi" w:cstheme="majorHAnsi"/>
          <w:lang w:val="en-US"/>
        </w:rPr>
        <w:t>Budgeted expenses were reduced for 2022-23 due to the expiry of the Personal Support Workers PPF (whereby the ministry funded participation in this program).</w:t>
      </w:r>
    </w:p>
    <w:p w14:paraId="2C3012C7" w14:textId="6E3E4281" w:rsidR="007D7420" w:rsidRPr="000B69C9" w:rsidRDefault="007D7420" w:rsidP="007D7420">
      <w:pPr>
        <w:pStyle w:val="NoSpacing"/>
        <w:rPr>
          <w:rFonts w:asciiTheme="majorHAnsi" w:hAnsiTheme="majorHAnsi" w:cstheme="majorHAnsi"/>
          <w:u w:val="single"/>
          <w:lang w:val="en-US"/>
        </w:rPr>
      </w:pPr>
      <w:r w:rsidRPr="00676D63">
        <w:rPr>
          <w:rFonts w:asciiTheme="majorHAnsi" w:hAnsiTheme="majorHAnsi" w:cstheme="majorHAnsi"/>
          <w:b/>
          <w:bCs/>
          <w:u w:val="single"/>
          <w:lang w:val="en-US"/>
        </w:rPr>
        <w:t>Note 7</w:t>
      </w:r>
      <w:r w:rsidRPr="000B69C9">
        <w:rPr>
          <w:rFonts w:asciiTheme="majorHAnsi" w:hAnsiTheme="majorHAnsi" w:cstheme="majorHAnsi"/>
          <w:u w:val="single"/>
          <w:lang w:val="en-US"/>
        </w:rPr>
        <w:t xml:space="preserve">: </w:t>
      </w:r>
      <w:r>
        <w:rPr>
          <w:rFonts w:asciiTheme="majorHAnsi" w:hAnsiTheme="majorHAnsi" w:cstheme="majorHAnsi"/>
          <w:u w:val="single"/>
          <w:lang w:val="en-US"/>
        </w:rPr>
        <w:t>Transportation</w:t>
      </w:r>
    </w:p>
    <w:p w14:paraId="4B4D27BF" w14:textId="4B70FF1E" w:rsidR="007D7420" w:rsidRPr="00F47796" w:rsidRDefault="007D7420" w:rsidP="007D7420">
      <w:pPr>
        <w:rPr>
          <w:rFonts w:asciiTheme="majorHAnsi" w:hAnsiTheme="majorHAnsi" w:cstheme="majorHAnsi"/>
          <w:lang w:val="en-US"/>
        </w:rPr>
      </w:pPr>
      <w:r w:rsidRPr="00F47796">
        <w:rPr>
          <w:rFonts w:asciiTheme="majorHAnsi" w:hAnsiTheme="majorHAnsi" w:cstheme="majorHAnsi"/>
          <w:lang w:val="en-US"/>
        </w:rPr>
        <w:t>Budgeted expenses were reduced for 2022-23 due to the expiry</w:t>
      </w:r>
      <w:r>
        <w:rPr>
          <w:rFonts w:asciiTheme="majorHAnsi" w:hAnsiTheme="majorHAnsi" w:cstheme="majorHAnsi"/>
          <w:lang w:val="en-US"/>
        </w:rPr>
        <w:t xml:space="preserve"> COVID-19 PPF intended to support enhanced cleaning, etc. on school buses.</w:t>
      </w:r>
    </w:p>
    <w:p w14:paraId="14C059AB" w14:textId="4BFDD578" w:rsidR="00A436EB" w:rsidRPr="00F7457A" w:rsidRDefault="00F7457A" w:rsidP="00F7457A">
      <w:pPr>
        <w:rPr>
          <w:rFonts w:asciiTheme="majorHAnsi" w:hAnsiTheme="majorHAnsi" w:cstheme="majorHAnsi"/>
          <w:sz w:val="24"/>
          <w:szCs w:val="24"/>
          <w:lang w:val="en-US"/>
        </w:rPr>
      </w:pPr>
      <w:r w:rsidRPr="00676D63">
        <w:rPr>
          <w:rFonts w:asciiTheme="majorHAnsi" w:hAnsiTheme="majorHAnsi" w:cstheme="majorHAnsi"/>
          <w:b/>
          <w:bCs/>
          <w:sz w:val="24"/>
          <w:szCs w:val="24"/>
          <w:u w:val="single"/>
          <w:lang w:val="en-US"/>
        </w:rPr>
        <w:t xml:space="preserve">Note </w:t>
      </w:r>
      <w:r w:rsidR="002861C7" w:rsidRPr="00676D63">
        <w:rPr>
          <w:rFonts w:asciiTheme="majorHAnsi" w:hAnsiTheme="majorHAnsi" w:cstheme="majorHAnsi"/>
          <w:b/>
          <w:bCs/>
          <w:sz w:val="24"/>
          <w:szCs w:val="24"/>
          <w:u w:val="single"/>
          <w:lang w:val="en-US"/>
        </w:rPr>
        <w:t>8</w:t>
      </w:r>
      <w:r w:rsidR="00A436EB" w:rsidRPr="00F7457A">
        <w:rPr>
          <w:rFonts w:asciiTheme="majorHAnsi" w:hAnsiTheme="majorHAnsi" w:cstheme="majorHAnsi"/>
          <w:sz w:val="24"/>
          <w:szCs w:val="24"/>
          <w:u w:val="single"/>
          <w:lang w:val="en-US"/>
        </w:rPr>
        <w:t xml:space="preserve">: </w:t>
      </w:r>
      <w:r w:rsidR="002861C7">
        <w:rPr>
          <w:rFonts w:asciiTheme="majorHAnsi" w:hAnsiTheme="majorHAnsi" w:cstheme="majorHAnsi"/>
          <w:sz w:val="24"/>
          <w:szCs w:val="24"/>
          <w:u w:val="single"/>
          <w:lang w:val="en-US"/>
        </w:rPr>
        <w:t>School Operations and Maintenance</w:t>
      </w:r>
    </w:p>
    <w:tbl>
      <w:tblPr>
        <w:tblW w:w="8920" w:type="dxa"/>
        <w:tblLook w:val="04A0" w:firstRow="1" w:lastRow="0" w:firstColumn="1" w:lastColumn="0" w:noHBand="0" w:noVBand="1"/>
      </w:tblPr>
      <w:tblGrid>
        <w:gridCol w:w="2520"/>
        <w:gridCol w:w="3600"/>
        <w:gridCol w:w="1400"/>
        <w:gridCol w:w="1400"/>
      </w:tblGrid>
      <w:tr w:rsidR="001447FF" w:rsidRPr="001447FF" w14:paraId="52EB734B" w14:textId="77777777" w:rsidTr="001447FF">
        <w:trPr>
          <w:trHeight w:val="780"/>
        </w:trPr>
        <w:tc>
          <w:tcPr>
            <w:tcW w:w="25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3A6EDAE" w14:textId="77777777" w:rsidR="001447FF" w:rsidRPr="001447FF" w:rsidRDefault="001447FF" w:rsidP="001447FF">
            <w:pPr>
              <w:spacing w:after="0" w:line="240" w:lineRule="auto"/>
              <w:rPr>
                <w:rFonts w:ascii="Calibri Light" w:eastAsia="Times New Roman" w:hAnsi="Calibri Light" w:cs="Calibri Light"/>
                <w:b/>
                <w:bCs/>
                <w:color w:val="000000"/>
                <w:sz w:val="20"/>
                <w:szCs w:val="20"/>
                <w:lang w:eastAsia="en-CA"/>
              </w:rPr>
            </w:pPr>
            <w:r w:rsidRPr="001447FF">
              <w:rPr>
                <w:rFonts w:ascii="Calibri Light" w:eastAsia="Times New Roman" w:hAnsi="Calibri Light" w:cs="Calibri Light"/>
                <w:b/>
                <w:bCs/>
                <w:color w:val="000000"/>
                <w:sz w:val="20"/>
                <w:szCs w:val="20"/>
                <w:lang w:eastAsia="en-CA"/>
              </w:rPr>
              <w:t>Category</w:t>
            </w:r>
          </w:p>
        </w:tc>
        <w:tc>
          <w:tcPr>
            <w:tcW w:w="3600" w:type="dxa"/>
            <w:tcBorders>
              <w:top w:val="single" w:sz="4" w:space="0" w:color="000000"/>
              <w:left w:val="nil"/>
              <w:bottom w:val="nil"/>
              <w:right w:val="single" w:sz="4" w:space="0" w:color="000000"/>
            </w:tcBorders>
            <w:shd w:val="clear" w:color="auto" w:fill="auto"/>
            <w:vAlign w:val="bottom"/>
            <w:hideMark/>
          </w:tcPr>
          <w:p w14:paraId="75F8F4D0" w14:textId="77777777" w:rsidR="001447FF" w:rsidRPr="001447FF" w:rsidRDefault="001447FF" w:rsidP="001447FF">
            <w:pPr>
              <w:spacing w:after="0" w:line="240" w:lineRule="auto"/>
              <w:rPr>
                <w:rFonts w:ascii="Calibri Light" w:eastAsia="Times New Roman" w:hAnsi="Calibri Light" w:cs="Calibri Light"/>
                <w:b/>
                <w:bCs/>
                <w:color w:val="000000"/>
                <w:sz w:val="20"/>
                <w:szCs w:val="20"/>
                <w:lang w:eastAsia="en-CA"/>
              </w:rPr>
            </w:pPr>
            <w:r w:rsidRPr="001447FF">
              <w:rPr>
                <w:rFonts w:ascii="Calibri Light" w:eastAsia="Times New Roman" w:hAnsi="Calibri Light" w:cs="Calibri Light"/>
                <w:b/>
                <w:bCs/>
                <w:color w:val="000000"/>
                <w:sz w:val="20"/>
                <w:szCs w:val="20"/>
                <w:lang w:eastAsia="en-CA"/>
              </w:rPr>
              <w:t>Description</w:t>
            </w:r>
          </w:p>
        </w:tc>
        <w:tc>
          <w:tcPr>
            <w:tcW w:w="1400" w:type="dxa"/>
            <w:tcBorders>
              <w:top w:val="single" w:sz="4" w:space="0" w:color="000000"/>
              <w:left w:val="nil"/>
              <w:bottom w:val="nil"/>
              <w:right w:val="single" w:sz="4" w:space="0" w:color="000000"/>
            </w:tcBorders>
            <w:shd w:val="clear" w:color="auto" w:fill="auto"/>
            <w:vAlign w:val="bottom"/>
            <w:hideMark/>
          </w:tcPr>
          <w:p w14:paraId="6AD4D023" w14:textId="77777777" w:rsidR="001447FF" w:rsidRPr="001447FF" w:rsidRDefault="001447FF" w:rsidP="001447FF">
            <w:pPr>
              <w:spacing w:after="0" w:line="240" w:lineRule="auto"/>
              <w:jc w:val="center"/>
              <w:rPr>
                <w:rFonts w:ascii="Calibri Light" w:eastAsia="Times New Roman" w:hAnsi="Calibri Light" w:cs="Calibri Light"/>
                <w:b/>
                <w:bCs/>
                <w:color w:val="000000"/>
                <w:sz w:val="20"/>
                <w:szCs w:val="20"/>
                <w:lang w:eastAsia="en-CA"/>
              </w:rPr>
            </w:pPr>
            <w:r w:rsidRPr="001447FF">
              <w:rPr>
                <w:rFonts w:ascii="Calibri Light" w:eastAsia="Times New Roman" w:hAnsi="Calibri Light" w:cs="Calibri Light"/>
                <w:b/>
                <w:bCs/>
                <w:color w:val="000000"/>
                <w:sz w:val="20"/>
                <w:szCs w:val="20"/>
                <w:lang w:eastAsia="en-CA"/>
              </w:rPr>
              <w:t xml:space="preserve">2021-22                        Revised                     Budget                      </w:t>
            </w:r>
          </w:p>
        </w:tc>
        <w:tc>
          <w:tcPr>
            <w:tcW w:w="1400" w:type="dxa"/>
            <w:tcBorders>
              <w:top w:val="single" w:sz="4" w:space="0" w:color="000000"/>
              <w:left w:val="nil"/>
              <w:bottom w:val="nil"/>
              <w:right w:val="single" w:sz="4" w:space="0" w:color="000000"/>
            </w:tcBorders>
            <w:shd w:val="clear" w:color="auto" w:fill="auto"/>
            <w:vAlign w:val="bottom"/>
            <w:hideMark/>
          </w:tcPr>
          <w:p w14:paraId="0141C33C" w14:textId="77777777" w:rsidR="001447FF" w:rsidRPr="001447FF" w:rsidRDefault="001447FF" w:rsidP="001447FF">
            <w:pPr>
              <w:spacing w:after="0" w:line="240" w:lineRule="auto"/>
              <w:jc w:val="center"/>
              <w:rPr>
                <w:rFonts w:ascii="Calibri Light" w:eastAsia="Times New Roman" w:hAnsi="Calibri Light" w:cs="Calibri Light"/>
                <w:b/>
                <w:bCs/>
                <w:color w:val="000000"/>
                <w:sz w:val="20"/>
                <w:szCs w:val="20"/>
                <w:lang w:eastAsia="en-CA"/>
              </w:rPr>
            </w:pPr>
            <w:r w:rsidRPr="001447FF">
              <w:rPr>
                <w:rFonts w:ascii="Calibri Light" w:eastAsia="Times New Roman" w:hAnsi="Calibri Light" w:cs="Calibri Light"/>
                <w:b/>
                <w:bCs/>
                <w:color w:val="000000"/>
                <w:sz w:val="20"/>
                <w:szCs w:val="20"/>
                <w:lang w:eastAsia="en-CA"/>
              </w:rPr>
              <w:t>2022-23          Estimates                    Budget</w:t>
            </w:r>
          </w:p>
        </w:tc>
      </w:tr>
      <w:tr w:rsidR="001447FF" w:rsidRPr="001447FF" w14:paraId="47D34707" w14:textId="77777777" w:rsidTr="001447FF">
        <w:trPr>
          <w:trHeight w:val="278"/>
        </w:trPr>
        <w:tc>
          <w:tcPr>
            <w:tcW w:w="2520" w:type="dxa"/>
            <w:vMerge w:val="restart"/>
            <w:tcBorders>
              <w:top w:val="nil"/>
              <w:left w:val="single" w:sz="4" w:space="0" w:color="000000"/>
              <w:bottom w:val="single" w:sz="4" w:space="0" w:color="000000"/>
              <w:right w:val="nil"/>
            </w:tcBorders>
            <w:shd w:val="clear" w:color="000000" w:fill="FFFFFF"/>
            <w:hideMark/>
          </w:tcPr>
          <w:p w14:paraId="2DB2DB51"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Custodial Operations</w:t>
            </w:r>
          </w:p>
        </w:tc>
        <w:tc>
          <w:tcPr>
            <w:tcW w:w="3600" w:type="dxa"/>
            <w:tcBorders>
              <w:top w:val="single" w:sz="4" w:space="0" w:color="auto"/>
              <w:left w:val="single" w:sz="4" w:space="0" w:color="auto"/>
              <w:bottom w:val="single" w:sz="4" w:space="0" w:color="auto"/>
              <w:right w:val="single" w:sz="4" w:space="0" w:color="auto"/>
            </w:tcBorders>
            <w:shd w:val="clear" w:color="000000" w:fill="FFFFFF"/>
            <w:hideMark/>
          </w:tcPr>
          <w:p w14:paraId="419473EA"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Wages</w:t>
            </w:r>
          </w:p>
        </w:tc>
        <w:tc>
          <w:tcPr>
            <w:tcW w:w="1400" w:type="dxa"/>
            <w:tcBorders>
              <w:top w:val="single" w:sz="4" w:space="0" w:color="auto"/>
              <w:left w:val="nil"/>
              <w:bottom w:val="single" w:sz="4" w:space="0" w:color="auto"/>
              <w:right w:val="single" w:sz="4" w:space="0" w:color="auto"/>
            </w:tcBorders>
            <w:shd w:val="clear" w:color="000000" w:fill="FFFFFF"/>
            <w:hideMark/>
          </w:tcPr>
          <w:p w14:paraId="772FA867"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2,664,945</w:t>
            </w:r>
          </w:p>
        </w:tc>
        <w:tc>
          <w:tcPr>
            <w:tcW w:w="1400" w:type="dxa"/>
            <w:tcBorders>
              <w:top w:val="single" w:sz="4" w:space="0" w:color="auto"/>
              <w:left w:val="nil"/>
              <w:bottom w:val="single" w:sz="4" w:space="0" w:color="auto"/>
              <w:right w:val="single" w:sz="4" w:space="0" w:color="auto"/>
            </w:tcBorders>
            <w:shd w:val="clear" w:color="000000" w:fill="FFFFFF"/>
            <w:hideMark/>
          </w:tcPr>
          <w:p w14:paraId="7A5C73CC"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2,552,292</w:t>
            </w:r>
          </w:p>
        </w:tc>
      </w:tr>
      <w:tr w:rsidR="001447FF" w:rsidRPr="001447FF" w14:paraId="1B257645" w14:textId="77777777" w:rsidTr="001447FF">
        <w:trPr>
          <w:trHeight w:val="278"/>
        </w:trPr>
        <w:tc>
          <w:tcPr>
            <w:tcW w:w="2520" w:type="dxa"/>
            <w:vMerge/>
            <w:tcBorders>
              <w:top w:val="nil"/>
              <w:left w:val="single" w:sz="4" w:space="0" w:color="000000"/>
              <w:bottom w:val="single" w:sz="4" w:space="0" w:color="000000"/>
              <w:right w:val="nil"/>
            </w:tcBorders>
            <w:vAlign w:val="center"/>
            <w:hideMark/>
          </w:tcPr>
          <w:p w14:paraId="0F58C35E"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p>
        </w:tc>
        <w:tc>
          <w:tcPr>
            <w:tcW w:w="3600" w:type="dxa"/>
            <w:tcBorders>
              <w:top w:val="nil"/>
              <w:left w:val="single" w:sz="4" w:space="0" w:color="auto"/>
              <w:bottom w:val="single" w:sz="4" w:space="0" w:color="auto"/>
              <w:right w:val="single" w:sz="4" w:space="0" w:color="auto"/>
            </w:tcBorders>
            <w:shd w:val="clear" w:color="000000" w:fill="FFFFFF"/>
            <w:hideMark/>
          </w:tcPr>
          <w:p w14:paraId="5B4BAF3C"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Benefits</w:t>
            </w:r>
          </w:p>
        </w:tc>
        <w:tc>
          <w:tcPr>
            <w:tcW w:w="1400" w:type="dxa"/>
            <w:tcBorders>
              <w:top w:val="nil"/>
              <w:left w:val="nil"/>
              <w:bottom w:val="single" w:sz="4" w:space="0" w:color="auto"/>
              <w:right w:val="single" w:sz="4" w:space="0" w:color="auto"/>
            </w:tcBorders>
            <w:shd w:val="clear" w:color="000000" w:fill="FFFFFF"/>
            <w:hideMark/>
          </w:tcPr>
          <w:p w14:paraId="018E7295"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800,351</w:t>
            </w:r>
          </w:p>
        </w:tc>
        <w:tc>
          <w:tcPr>
            <w:tcW w:w="1400" w:type="dxa"/>
            <w:tcBorders>
              <w:top w:val="nil"/>
              <w:left w:val="nil"/>
              <w:bottom w:val="single" w:sz="4" w:space="0" w:color="auto"/>
              <w:right w:val="single" w:sz="4" w:space="0" w:color="auto"/>
            </w:tcBorders>
            <w:shd w:val="clear" w:color="000000" w:fill="FFFFFF"/>
            <w:hideMark/>
          </w:tcPr>
          <w:p w14:paraId="50CE732D"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769,500</w:t>
            </w:r>
          </w:p>
        </w:tc>
      </w:tr>
      <w:tr w:rsidR="001447FF" w:rsidRPr="001447FF" w14:paraId="64A58B15" w14:textId="77777777" w:rsidTr="001447FF">
        <w:trPr>
          <w:trHeight w:val="278"/>
        </w:trPr>
        <w:tc>
          <w:tcPr>
            <w:tcW w:w="2520" w:type="dxa"/>
            <w:vMerge/>
            <w:tcBorders>
              <w:top w:val="nil"/>
              <w:left w:val="single" w:sz="4" w:space="0" w:color="000000"/>
              <w:bottom w:val="single" w:sz="4" w:space="0" w:color="000000"/>
              <w:right w:val="nil"/>
            </w:tcBorders>
            <w:vAlign w:val="center"/>
            <w:hideMark/>
          </w:tcPr>
          <w:p w14:paraId="0736E9BF"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p>
        </w:tc>
        <w:tc>
          <w:tcPr>
            <w:tcW w:w="3600" w:type="dxa"/>
            <w:tcBorders>
              <w:top w:val="nil"/>
              <w:left w:val="single" w:sz="4" w:space="0" w:color="auto"/>
              <w:bottom w:val="single" w:sz="4" w:space="0" w:color="auto"/>
              <w:right w:val="single" w:sz="4" w:space="0" w:color="auto"/>
            </w:tcBorders>
            <w:shd w:val="clear" w:color="000000" w:fill="FFFFFF"/>
            <w:hideMark/>
          </w:tcPr>
          <w:p w14:paraId="60B1EC19"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Supplies</w:t>
            </w:r>
          </w:p>
        </w:tc>
        <w:tc>
          <w:tcPr>
            <w:tcW w:w="1400" w:type="dxa"/>
            <w:tcBorders>
              <w:top w:val="nil"/>
              <w:left w:val="nil"/>
              <w:bottom w:val="single" w:sz="4" w:space="0" w:color="auto"/>
              <w:right w:val="single" w:sz="4" w:space="0" w:color="auto"/>
            </w:tcBorders>
            <w:shd w:val="clear" w:color="000000" w:fill="FFFFFF"/>
            <w:hideMark/>
          </w:tcPr>
          <w:p w14:paraId="24BB5F43" w14:textId="18D4ED53"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3</w:t>
            </w:r>
            <w:r w:rsidR="006B3445">
              <w:rPr>
                <w:rFonts w:ascii="Calibri Light" w:eastAsia="Times New Roman" w:hAnsi="Calibri Light" w:cs="Calibri Light"/>
                <w:color w:val="000000"/>
                <w:sz w:val="20"/>
                <w:szCs w:val="20"/>
                <w:lang w:eastAsia="en-CA"/>
              </w:rPr>
              <w:t>03</w:t>
            </w:r>
            <w:r w:rsidRPr="001447FF">
              <w:rPr>
                <w:rFonts w:ascii="Calibri Light" w:eastAsia="Times New Roman" w:hAnsi="Calibri Light" w:cs="Calibri Light"/>
                <w:color w:val="000000"/>
                <w:sz w:val="20"/>
                <w:szCs w:val="20"/>
                <w:lang w:eastAsia="en-CA"/>
              </w:rPr>
              <w:t>,250</w:t>
            </w:r>
          </w:p>
        </w:tc>
        <w:tc>
          <w:tcPr>
            <w:tcW w:w="1400" w:type="dxa"/>
            <w:tcBorders>
              <w:top w:val="nil"/>
              <w:left w:val="nil"/>
              <w:bottom w:val="single" w:sz="4" w:space="0" w:color="auto"/>
              <w:right w:val="single" w:sz="4" w:space="0" w:color="auto"/>
            </w:tcBorders>
            <w:shd w:val="clear" w:color="000000" w:fill="FFFFFF"/>
            <w:hideMark/>
          </w:tcPr>
          <w:p w14:paraId="4342618F"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185,250</w:t>
            </w:r>
          </w:p>
        </w:tc>
      </w:tr>
      <w:tr w:rsidR="001447FF" w:rsidRPr="001447FF" w14:paraId="64F63027" w14:textId="77777777" w:rsidTr="001447FF">
        <w:trPr>
          <w:trHeight w:val="278"/>
        </w:trPr>
        <w:tc>
          <w:tcPr>
            <w:tcW w:w="2520" w:type="dxa"/>
            <w:vMerge/>
            <w:tcBorders>
              <w:top w:val="nil"/>
              <w:left w:val="single" w:sz="4" w:space="0" w:color="000000"/>
              <w:bottom w:val="single" w:sz="4" w:space="0" w:color="000000"/>
              <w:right w:val="nil"/>
            </w:tcBorders>
            <w:vAlign w:val="center"/>
            <w:hideMark/>
          </w:tcPr>
          <w:p w14:paraId="3DD58031"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p>
        </w:tc>
        <w:tc>
          <w:tcPr>
            <w:tcW w:w="3600" w:type="dxa"/>
            <w:tcBorders>
              <w:top w:val="nil"/>
              <w:left w:val="single" w:sz="4" w:space="0" w:color="auto"/>
              <w:bottom w:val="single" w:sz="4" w:space="0" w:color="auto"/>
              <w:right w:val="single" w:sz="4" w:space="0" w:color="auto"/>
            </w:tcBorders>
            <w:shd w:val="clear" w:color="000000" w:fill="FFFFFF"/>
            <w:hideMark/>
          </w:tcPr>
          <w:p w14:paraId="42A3B04B"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Services</w:t>
            </w:r>
          </w:p>
        </w:tc>
        <w:tc>
          <w:tcPr>
            <w:tcW w:w="1400" w:type="dxa"/>
            <w:tcBorders>
              <w:top w:val="nil"/>
              <w:left w:val="nil"/>
              <w:bottom w:val="single" w:sz="4" w:space="0" w:color="auto"/>
              <w:right w:val="single" w:sz="4" w:space="0" w:color="auto"/>
            </w:tcBorders>
            <w:shd w:val="clear" w:color="000000" w:fill="FFFFFF"/>
            <w:hideMark/>
          </w:tcPr>
          <w:p w14:paraId="1CAEF495"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674,254</w:t>
            </w:r>
          </w:p>
        </w:tc>
        <w:tc>
          <w:tcPr>
            <w:tcW w:w="1400" w:type="dxa"/>
            <w:tcBorders>
              <w:top w:val="nil"/>
              <w:left w:val="nil"/>
              <w:bottom w:val="single" w:sz="4" w:space="0" w:color="auto"/>
              <w:right w:val="single" w:sz="4" w:space="0" w:color="auto"/>
            </w:tcBorders>
            <w:shd w:val="clear" w:color="000000" w:fill="FFFFFF"/>
            <w:hideMark/>
          </w:tcPr>
          <w:p w14:paraId="7EE9A89B"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823,800</w:t>
            </w:r>
          </w:p>
        </w:tc>
      </w:tr>
      <w:tr w:rsidR="001447FF" w:rsidRPr="001447FF" w14:paraId="699D62F1" w14:textId="77777777" w:rsidTr="001447FF">
        <w:trPr>
          <w:trHeight w:val="278"/>
        </w:trPr>
        <w:tc>
          <w:tcPr>
            <w:tcW w:w="2520" w:type="dxa"/>
            <w:vMerge w:val="restart"/>
            <w:tcBorders>
              <w:top w:val="nil"/>
              <w:left w:val="single" w:sz="4" w:space="0" w:color="000000"/>
              <w:bottom w:val="single" w:sz="4" w:space="0" w:color="000000"/>
              <w:right w:val="nil"/>
            </w:tcBorders>
            <w:shd w:val="clear" w:color="000000" w:fill="FFFFFF"/>
            <w:hideMark/>
          </w:tcPr>
          <w:p w14:paraId="53A22D18"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Maintenance Operations</w:t>
            </w:r>
          </w:p>
        </w:tc>
        <w:tc>
          <w:tcPr>
            <w:tcW w:w="3600" w:type="dxa"/>
            <w:tcBorders>
              <w:top w:val="nil"/>
              <w:left w:val="single" w:sz="4" w:space="0" w:color="auto"/>
              <w:bottom w:val="single" w:sz="4" w:space="0" w:color="auto"/>
              <w:right w:val="single" w:sz="4" w:space="0" w:color="auto"/>
            </w:tcBorders>
            <w:shd w:val="clear" w:color="000000" w:fill="FFFFFF"/>
            <w:hideMark/>
          </w:tcPr>
          <w:p w14:paraId="0FA8E543"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Wages</w:t>
            </w:r>
          </w:p>
        </w:tc>
        <w:tc>
          <w:tcPr>
            <w:tcW w:w="1400" w:type="dxa"/>
            <w:tcBorders>
              <w:top w:val="nil"/>
              <w:left w:val="nil"/>
              <w:bottom w:val="single" w:sz="4" w:space="0" w:color="auto"/>
              <w:right w:val="single" w:sz="4" w:space="0" w:color="auto"/>
            </w:tcBorders>
            <w:shd w:val="clear" w:color="000000" w:fill="FFFFFF"/>
            <w:hideMark/>
          </w:tcPr>
          <w:p w14:paraId="5D6FF243"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418,683</w:t>
            </w:r>
          </w:p>
        </w:tc>
        <w:tc>
          <w:tcPr>
            <w:tcW w:w="1400" w:type="dxa"/>
            <w:tcBorders>
              <w:top w:val="nil"/>
              <w:left w:val="nil"/>
              <w:bottom w:val="single" w:sz="4" w:space="0" w:color="auto"/>
              <w:right w:val="single" w:sz="4" w:space="0" w:color="auto"/>
            </w:tcBorders>
            <w:shd w:val="clear" w:color="000000" w:fill="FFFFFF"/>
            <w:hideMark/>
          </w:tcPr>
          <w:p w14:paraId="2AADD3A6"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422,800</w:t>
            </w:r>
          </w:p>
        </w:tc>
      </w:tr>
      <w:tr w:rsidR="001447FF" w:rsidRPr="001447FF" w14:paraId="6D225616" w14:textId="77777777" w:rsidTr="001447FF">
        <w:trPr>
          <w:trHeight w:val="278"/>
        </w:trPr>
        <w:tc>
          <w:tcPr>
            <w:tcW w:w="2520" w:type="dxa"/>
            <w:vMerge/>
            <w:tcBorders>
              <w:top w:val="nil"/>
              <w:left w:val="single" w:sz="4" w:space="0" w:color="000000"/>
              <w:bottom w:val="single" w:sz="4" w:space="0" w:color="000000"/>
              <w:right w:val="nil"/>
            </w:tcBorders>
            <w:vAlign w:val="center"/>
            <w:hideMark/>
          </w:tcPr>
          <w:p w14:paraId="55E99702"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p>
        </w:tc>
        <w:tc>
          <w:tcPr>
            <w:tcW w:w="3600" w:type="dxa"/>
            <w:tcBorders>
              <w:top w:val="nil"/>
              <w:left w:val="single" w:sz="4" w:space="0" w:color="auto"/>
              <w:bottom w:val="single" w:sz="4" w:space="0" w:color="auto"/>
              <w:right w:val="single" w:sz="4" w:space="0" w:color="auto"/>
            </w:tcBorders>
            <w:shd w:val="clear" w:color="000000" w:fill="FFFFFF"/>
            <w:hideMark/>
          </w:tcPr>
          <w:p w14:paraId="7D53114C"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Benefits</w:t>
            </w:r>
          </w:p>
        </w:tc>
        <w:tc>
          <w:tcPr>
            <w:tcW w:w="1400" w:type="dxa"/>
            <w:tcBorders>
              <w:top w:val="nil"/>
              <w:left w:val="nil"/>
              <w:bottom w:val="single" w:sz="4" w:space="0" w:color="auto"/>
              <w:right w:val="single" w:sz="4" w:space="0" w:color="auto"/>
            </w:tcBorders>
            <w:shd w:val="clear" w:color="000000" w:fill="FFFFFF"/>
            <w:hideMark/>
          </w:tcPr>
          <w:p w14:paraId="76CB8E30"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123,264</w:t>
            </w:r>
          </w:p>
        </w:tc>
        <w:tc>
          <w:tcPr>
            <w:tcW w:w="1400" w:type="dxa"/>
            <w:tcBorders>
              <w:top w:val="nil"/>
              <w:left w:val="nil"/>
              <w:bottom w:val="single" w:sz="4" w:space="0" w:color="auto"/>
              <w:right w:val="single" w:sz="4" w:space="0" w:color="auto"/>
            </w:tcBorders>
            <w:shd w:val="clear" w:color="000000" w:fill="FFFFFF"/>
            <w:hideMark/>
          </w:tcPr>
          <w:p w14:paraId="7A1AB1C2"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124,500</w:t>
            </w:r>
          </w:p>
        </w:tc>
      </w:tr>
      <w:tr w:rsidR="001447FF" w:rsidRPr="001447FF" w14:paraId="318204A4" w14:textId="77777777" w:rsidTr="001447FF">
        <w:trPr>
          <w:trHeight w:val="278"/>
        </w:trPr>
        <w:tc>
          <w:tcPr>
            <w:tcW w:w="2520" w:type="dxa"/>
            <w:vMerge/>
            <w:tcBorders>
              <w:top w:val="nil"/>
              <w:left w:val="single" w:sz="4" w:space="0" w:color="000000"/>
              <w:bottom w:val="single" w:sz="4" w:space="0" w:color="000000"/>
              <w:right w:val="nil"/>
            </w:tcBorders>
            <w:vAlign w:val="center"/>
            <w:hideMark/>
          </w:tcPr>
          <w:p w14:paraId="594D7883"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p>
        </w:tc>
        <w:tc>
          <w:tcPr>
            <w:tcW w:w="3600" w:type="dxa"/>
            <w:tcBorders>
              <w:top w:val="nil"/>
              <w:left w:val="single" w:sz="4" w:space="0" w:color="auto"/>
              <w:bottom w:val="single" w:sz="4" w:space="0" w:color="auto"/>
              <w:right w:val="single" w:sz="4" w:space="0" w:color="auto"/>
            </w:tcBorders>
            <w:shd w:val="clear" w:color="000000" w:fill="FFFFFF"/>
            <w:hideMark/>
          </w:tcPr>
          <w:p w14:paraId="0C15106F"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Supplies</w:t>
            </w:r>
          </w:p>
        </w:tc>
        <w:tc>
          <w:tcPr>
            <w:tcW w:w="1400" w:type="dxa"/>
            <w:tcBorders>
              <w:top w:val="nil"/>
              <w:left w:val="nil"/>
              <w:bottom w:val="single" w:sz="4" w:space="0" w:color="auto"/>
              <w:right w:val="single" w:sz="4" w:space="0" w:color="auto"/>
            </w:tcBorders>
            <w:shd w:val="clear" w:color="000000" w:fill="FFFFFF"/>
            <w:hideMark/>
          </w:tcPr>
          <w:p w14:paraId="1F2439CF"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129,500</w:t>
            </w:r>
          </w:p>
        </w:tc>
        <w:tc>
          <w:tcPr>
            <w:tcW w:w="1400" w:type="dxa"/>
            <w:tcBorders>
              <w:top w:val="nil"/>
              <w:left w:val="nil"/>
              <w:bottom w:val="single" w:sz="4" w:space="0" w:color="auto"/>
              <w:right w:val="single" w:sz="4" w:space="0" w:color="auto"/>
            </w:tcBorders>
            <w:shd w:val="clear" w:color="000000" w:fill="FFFFFF"/>
            <w:hideMark/>
          </w:tcPr>
          <w:p w14:paraId="4BCA789D"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96,500</w:t>
            </w:r>
          </w:p>
        </w:tc>
      </w:tr>
      <w:tr w:rsidR="001447FF" w:rsidRPr="001447FF" w14:paraId="146AE4B2" w14:textId="77777777" w:rsidTr="001447FF">
        <w:trPr>
          <w:trHeight w:val="278"/>
        </w:trPr>
        <w:tc>
          <w:tcPr>
            <w:tcW w:w="2520" w:type="dxa"/>
            <w:vMerge/>
            <w:tcBorders>
              <w:top w:val="nil"/>
              <w:left w:val="single" w:sz="4" w:space="0" w:color="000000"/>
              <w:bottom w:val="single" w:sz="4" w:space="0" w:color="000000"/>
              <w:right w:val="nil"/>
            </w:tcBorders>
            <w:vAlign w:val="center"/>
            <w:hideMark/>
          </w:tcPr>
          <w:p w14:paraId="63F8C6BE"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p>
        </w:tc>
        <w:tc>
          <w:tcPr>
            <w:tcW w:w="3600" w:type="dxa"/>
            <w:tcBorders>
              <w:top w:val="nil"/>
              <w:left w:val="single" w:sz="4" w:space="0" w:color="auto"/>
              <w:bottom w:val="single" w:sz="4" w:space="0" w:color="auto"/>
              <w:right w:val="single" w:sz="4" w:space="0" w:color="auto"/>
            </w:tcBorders>
            <w:shd w:val="clear" w:color="000000" w:fill="FFFFFF"/>
            <w:hideMark/>
          </w:tcPr>
          <w:p w14:paraId="59ED4595"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Services</w:t>
            </w:r>
          </w:p>
        </w:tc>
        <w:tc>
          <w:tcPr>
            <w:tcW w:w="1400" w:type="dxa"/>
            <w:tcBorders>
              <w:top w:val="nil"/>
              <w:left w:val="nil"/>
              <w:bottom w:val="single" w:sz="4" w:space="0" w:color="auto"/>
              <w:right w:val="single" w:sz="4" w:space="0" w:color="auto"/>
            </w:tcBorders>
            <w:shd w:val="clear" w:color="000000" w:fill="FFFFFF"/>
            <w:hideMark/>
          </w:tcPr>
          <w:p w14:paraId="7E9347CE"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459,500</w:t>
            </w:r>
          </w:p>
        </w:tc>
        <w:tc>
          <w:tcPr>
            <w:tcW w:w="1400" w:type="dxa"/>
            <w:tcBorders>
              <w:top w:val="nil"/>
              <w:left w:val="nil"/>
              <w:bottom w:val="single" w:sz="4" w:space="0" w:color="auto"/>
              <w:right w:val="single" w:sz="4" w:space="0" w:color="auto"/>
            </w:tcBorders>
            <w:shd w:val="clear" w:color="000000" w:fill="FFFFFF"/>
            <w:hideMark/>
          </w:tcPr>
          <w:p w14:paraId="7336B281"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481,320</w:t>
            </w:r>
          </w:p>
        </w:tc>
      </w:tr>
      <w:tr w:rsidR="001447FF" w:rsidRPr="001447FF" w14:paraId="004D6C0D" w14:textId="77777777" w:rsidTr="001447FF">
        <w:trPr>
          <w:trHeight w:val="278"/>
        </w:trPr>
        <w:tc>
          <w:tcPr>
            <w:tcW w:w="2520" w:type="dxa"/>
            <w:vMerge w:val="restart"/>
            <w:tcBorders>
              <w:top w:val="nil"/>
              <w:left w:val="single" w:sz="4" w:space="0" w:color="000000"/>
              <w:bottom w:val="nil"/>
              <w:right w:val="nil"/>
            </w:tcBorders>
            <w:shd w:val="clear" w:color="000000" w:fill="FFFFFF"/>
            <w:hideMark/>
          </w:tcPr>
          <w:p w14:paraId="63D42E72"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Utilities</w:t>
            </w:r>
          </w:p>
        </w:tc>
        <w:tc>
          <w:tcPr>
            <w:tcW w:w="3600" w:type="dxa"/>
            <w:tcBorders>
              <w:top w:val="nil"/>
              <w:left w:val="single" w:sz="4" w:space="0" w:color="auto"/>
              <w:bottom w:val="single" w:sz="4" w:space="0" w:color="auto"/>
              <w:right w:val="single" w:sz="4" w:space="0" w:color="auto"/>
            </w:tcBorders>
            <w:shd w:val="clear" w:color="000000" w:fill="FFFFFF"/>
            <w:hideMark/>
          </w:tcPr>
          <w:p w14:paraId="5E06A494"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Electricity</w:t>
            </w:r>
          </w:p>
        </w:tc>
        <w:tc>
          <w:tcPr>
            <w:tcW w:w="1400" w:type="dxa"/>
            <w:tcBorders>
              <w:top w:val="nil"/>
              <w:left w:val="nil"/>
              <w:bottom w:val="single" w:sz="4" w:space="0" w:color="auto"/>
              <w:right w:val="single" w:sz="4" w:space="0" w:color="auto"/>
            </w:tcBorders>
            <w:shd w:val="clear" w:color="000000" w:fill="FFFFFF"/>
            <w:hideMark/>
          </w:tcPr>
          <w:p w14:paraId="3FE4A173"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725,000</w:t>
            </w:r>
          </w:p>
        </w:tc>
        <w:tc>
          <w:tcPr>
            <w:tcW w:w="1400" w:type="dxa"/>
            <w:tcBorders>
              <w:top w:val="nil"/>
              <w:left w:val="nil"/>
              <w:bottom w:val="single" w:sz="4" w:space="0" w:color="auto"/>
              <w:right w:val="single" w:sz="4" w:space="0" w:color="auto"/>
            </w:tcBorders>
            <w:shd w:val="clear" w:color="000000" w:fill="FFFFFF"/>
            <w:hideMark/>
          </w:tcPr>
          <w:p w14:paraId="411290E5"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725,000</w:t>
            </w:r>
          </w:p>
        </w:tc>
      </w:tr>
      <w:tr w:rsidR="001447FF" w:rsidRPr="001447FF" w14:paraId="57CBE121" w14:textId="77777777" w:rsidTr="001447FF">
        <w:trPr>
          <w:trHeight w:val="278"/>
        </w:trPr>
        <w:tc>
          <w:tcPr>
            <w:tcW w:w="2520" w:type="dxa"/>
            <w:vMerge/>
            <w:tcBorders>
              <w:top w:val="nil"/>
              <w:left w:val="single" w:sz="4" w:space="0" w:color="000000"/>
              <w:bottom w:val="nil"/>
              <w:right w:val="nil"/>
            </w:tcBorders>
            <w:vAlign w:val="center"/>
            <w:hideMark/>
          </w:tcPr>
          <w:p w14:paraId="3536CD72"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p>
        </w:tc>
        <w:tc>
          <w:tcPr>
            <w:tcW w:w="3600" w:type="dxa"/>
            <w:tcBorders>
              <w:top w:val="nil"/>
              <w:left w:val="single" w:sz="4" w:space="0" w:color="auto"/>
              <w:bottom w:val="single" w:sz="4" w:space="0" w:color="auto"/>
              <w:right w:val="single" w:sz="4" w:space="0" w:color="auto"/>
            </w:tcBorders>
            <w:shd w:val="clear" w:color="000000" w:fill="FFFFFF"/>
            <w:hideMark/>
          </w:tcPr>
          <w:p w14:paraId="12745407"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Heating - Oil</w:t>
            </w:r>
          </w:p>
        </w:tc>
        <w:tc>
          <w:tcPr>
            <w:tcW w:w="1400" w:type="dxa"/>
            <w:tcBorders>
              <w:top w:val="nil"/>
              <w:left w:val="nil"/>
              <w:bottom w:val="single" w:sz="4" w:space="0" w:color="auto"/>
              <w:right w:val="single" w:sz="4" w:space="0" w:color="auto"/>
            </w:tcBorders>
            <w:shd w:val="clear" w:color="000000" w:fill="FFFFFF"/>
            <w:hideMark/>
          </w:tcPr>
          <w:p w14:paraId="13C84898"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20,000</w:t>
            </w:r>
          </w:p>
        </w:tc>
        <w:tc>
          <w:tcPr>
            <w:tcW w:w="1400" w:type="dxa"/>
            <w:tcBorders>
              <w:top w:val="nil"/>
              <w:left w:val="nil"/>
              <w:bottom w:val="single" w:sz="4" w:space="0" w:color="auto"/>
              <w:right w:val="single" w:sz="4" w:space="0" w:color="auto"/>
            </w:tcBorders>
            <w:shd w:val="clear" w:color="000000" w:fill="FFFFFF"/>
            <w:hideMark/>
          </w:tcPr>
          <w:p w14:paraId="05959D9A"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20,000</w:t>
            </w:r>
          </w:p>
        </w:tc>
      </w:tr>
      <w:tr w:rsidR="001447FF" w:rsidRPr="001447FF" w14:paraId="78978120" w14:textId="77777777" w:rsidTr="001447FF">
        <w:trPr>
          <w:trHeight w:val="278"/>
        </w:trPr>
        <w:tc>
          <w:tcPr>
            <w:tcW w:w="2520" w:type="dxa"/>
            <w:vMerge/>
            <w:tcBorders>
              <w:top w:val="nil"/>
              <w:left w:val="single" w:sz="4" w:space="0" w:color="000000"/>
              <w:bottom w:val="nil"/>
              <w:right w:val="nil"/>
            </w:tcBorders>
            <w:vAlign w:val="center"/>
            <w:hideMark/>
          </w:tcPr>
          <w:p w14:paraId="43889411"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p>
        </w:tc>
        <w:tc>
          <w:tcPr>
            <w:tcW w:w="3600" w:type="dxa"/>
            <w:tcBorders>
              <w:top w:val="nil"/>
              <w:left w:val="single" w:sz="4" w:space="0" w:color="auto"/>
              <w:bottom w:val="single" w:sz="4" w:space="0" w:color="auto"/>
              <w:right w:val="single" w:sz="4" w:space="0" w:color="auto"/>
            </w:tcBorders>
            <w:shd w:val="clear" w:color="000000" w:fill="FFFFFF"/>
            <w:hideMark/>
          </w:tcPr>
          <w:p w14:paraId="69A52B49"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Heating - Gas</w:t>
            </w:r>
          </w:p>
        </w:tc>
        <w:tc>
          <w:tcPr>
            <w:tcW w:w="1400" w:type="dxa"/>
            <w:tcBorders>
              <w:top w:val="nil"/>
              <w:left w:val="nil"/>
              <w:bottom w:val="single" w:sz="4" w:space="0" w:color="auto"/>
              <w:right w:val="single" w:sz="4" w:space="0" w:color="auto"/>
            </w:tcBorders>
            <w:shd w:val="clear" w:color="000000" w:fill="FFFFFF"/>
            <w:hideMark/>
          </w:tcPr>
          <w:p w14:paraId="007A8AEE"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325,000</w:t>
            </w:r>
          </w:p>
        </w:tc>
        <w:tc>
          <w:tcPr>
            <w:tcW w:w="1400" w:type="dxa"/>
            <w:tcBorders>
              <w:top w:val="nil"/>
              <w:left w:val="nil"/>
              <w:bottom w:val="single" w:sz="4" w:space="0" w:color="auto"/>
              <w:right w:val="single" w:sz="4" w:space="0" w:color="auto"/>
            </w:tcBorders>
            <w:shd w:val="clear" w:color="000000" w:fill="FFFFFF"/>
            <w:hideMark/>
          </w:tcPr>
          <w:p w14:paraId="78308627"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650,000</w:t>
            </w:r>
          </w:p>
        </w:tc>
      </w:tr>
      <w:tr w:rsidR="001447FF" w:rsidRPr="001447FF" w14:paraId="769B89E6" w14:textId="77777777" w:rsidTr="001447FF">
        <w:trPr>
          <w:trHeight w:val="278"/>
        </w:trPr>
        <w:tc>
          <w:tcPr>
            <w:tcW w:w="2520" w:type="dxa"/>
            <w:vMerge/>
            <w:tcBorders>
              <w:top w:val="nil"/>
              <w:left w:val="single" w:sz="4" w:space="0" w:color="000000"/>
              <w:bottom w:val="nil"/>
              <w:right w:val="nil"/>
            </w:tcBorders>
            <w:vAlign w:val="center"/>
            <w:hideMark/>
          </w:tcPr>
          <w:p w14:paraId="674190D9"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p>
        </w:tc>
        <w:tc>
          <w:tcPr>
            <w:tcW w:w="3600" w:type="dxa"/>
            <w:tcBorders>
              <w:top w:val="nil"/>
              <w:left w:val="single" w:sz="4" w:space="0" w:color="auto"/>
              <w:bottom w:val="single" w:sz="4" w:space="0" w:color="auto"/>
              <w:right w:val="single" w:sz="4" w:space="0" w:color="auto"/>
            </w:tcBorders>
            <w:shd w:val="clear" w:color="000000" w:fill="FFFFFF"/>
            <w:hideMark/>
          </w:tcPr>
          <w:p w14:paraId="595EC825"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Water and Sewerage</w:t>
            </w:r>
          </w:p>
        </w:tc>
        <w:tc>
          <w:tcPr>
            <w:tcW w:w="1400" w:type="dxa"/>
            <w:tcBorders>
              <w:top w:val="nil"/>
              <w:left w:val="nil"/>
              <w:bottom w:val="single" w:sz="4" w:space="0" w:color="auto"/>
              <w:right w:val="single" w:sz="4" w:space="0" w:color="auto"/>
            </w:tcBorders>
            <w:shd w:val="clear" w:color="000000" w:fill="FFFFFF"/>
            <w:hideMark/>
          </w:tcPr>
          <w:p w14:paraId="24312230"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220,000</w:t>
            </w:r>
          </w:p>
        </w:tc>
        <w:tc>
          <w:tcPr>
            <w:tcW w:w="1400" w:type="dxa"/>
            <w:tcBorders>
              <w:top w:val="nil"/>
              <w:left w:val="nil"/>
              <w:bottom w:val="single" w:sz="4" w:space="0" w:color="auto"/>
              <w:right w:val="single" w:sz="4" w:space="0" w:color="auto"/>
            </w:tcBorders>
            <w:shd w:val="clear" w:color="000000" w:fill="FFFFFF"/>
            <w:hideMark/>
          </w:tcPr>
          <w:p w14:paraId="0BF950C0"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215,000</w:t>
            </w:r>
          </w:p>
        </w:tc>
      </w:tr>
      <w:tr w:rsidR="001447FF" w:rsidRPr="001447FF" w14:paraId="7271420F" w14:textId="77777777" w:rsidTr="001447FF">
        <w:trPr>
          <w:trHeight w:val="278"/>
        </w:trPr>
        <w:tc>
          <w:tcPr>
            <w:tcW w:w="2520" w:type="dxa"/>
            <w:vMerge w:val="restart"/>
            <w:tcBorders>
              <w:top w:val="single" w:sz="4" w:space="0" w:color="auto"/>
              <w:left w:val="single" w:sz="4" w:space="0" w:color="auto"/>
              <w:bottom w:val="single" w:sz="4" w:space="0" w:color="auto"/>
              <w:right w:val="nil"/>
            </w:tcBorders>
            <w:shd w:val="clear" w:color="000000" w:fill="FFFFFF"/>
            <w:hideMark/>
          </w:tcPr>
          <w:p w14:paraId="48062694"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School Operations and Maintenance Administration</w:t>
            </w:r>
          </w:p>
        </w:tc>
        <w:tc>
          <w:tcPr>
            <w:tcW w:w="3600" w:type="dxa"/>
            <w:tcBorders>
              <w:top w:val="nil"/>
              <w:left w:val="single" w:sz="4" w:space="0" w:color="auto"/>
              <w:bottom w:val="single" w:sz="4" w:space="0" w:color="auto"/>
              <w:right w:val="single" w:sz="4" w:space="0" w:color="auto"/>
            </w:tcBorders>
            <w:shd w:val="clear" w:color="000000" w:fill="FFFFFF"/>
            <w:hideMark/>
          </w:tcPr>
          <w:p w14:paraId="2F02D681"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Wages</w:t>
            </w:r>
          </w:p>
        </w:tc>
        <w:tc>
          <w:tcPr>
            <w:tcW w:w="1400" w:type="dxa"/>
            <w:tcBorders>
              <w:top w:val="nil"/>
              <w:left w:val="nil"/>
              <w:bottom w:val="single" w:sz="4" w:space="0" w:color="auto"/>
              <w:right w:val="single" w:sz="4" w:space="0" w:color="auto"/>
            </w:tcBorders>
            <w:shd w:val="clear" w:color="000000" w:fill="FFFFFF"/>
            <w:hideMark/>
          </w:tcPr>
          <w:p w14:paraId="1AEBEB6E"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582,345</w:t>
            </w:r>
          </w:p>
        </w:tc>
        <w:tc>
          <w:tcPr>
            <w:tcW w:w="1400" w:type="dxa"/>
            <w:tcBorders>
              <w:top w:val="nil"/>
              <w:left w:val="nil"/>
              <w:bottom w:val="single" w:sz="4" w:space="0" w:color="auto"/>
              <w:right w:val="single" w:sz="4" w:space="0" w:color="auto"/>
            </w:tcBorders>
            <w:shd w:val="clear" w:color="000000" w:fill="FFFFFF"/>
            <w:hideMark/>
          </w:tcPr>
          <w:p w14:paraId="67B3A942"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673,254</w:t>
            </w:r>
          </w:p>
        </w:tc>
      </w:tr>
      <w:tr w:rsidR="001447FF" w:rsidRPr="001447FF" w14:paraId="00DE6294" w14:textId="77777777" w:rsidTr="001447FF">
        <w:trPr>
          <w:trHeight w:val="278"/>
        </w:trPr>
        <w:tc>
          <w:tcPr>
            <w:tcW w:w="2520" w:type="dxa"/>
            <w:vMerge/>
            <w:tcBorders>
              <w:top w:val="single" w:sz="4" w:space="0" w:color="auto"/>
              <w:left w:val="single" w:sz="4" w:space="0" w:color="auto"/>
              <w:bottom w:val="single" w:sz="4" w:space="0" w:color="auto"/>
              <w:right w:val="nil"/>
            </w:tcBorders>
            <w:vAlign w:val="center"/>
            <w:hideMark/>
          </w:tcPr>
          <w:p w14:paraId="7E0027AA"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p>
        </w:tc>
        <w:tc>
          <w:tcPr>
            <w:tcW w:w="3600" w:type="dxa"/>
            <w:tcBorders>
              <w:top w:val="nil"/>
              <w:left w:val="single" w:sz="4" w:space="0" w:color="auto"/>
              <w:bottom w:val="single" w:sz="4" w:space="0" w:color="auto"/>
              <w:right w:val="single" w:sz="4" w:space="0" w:color="auto"/>
            </w:tcBorders>
            <w:shd w:val="clear" w:color="000000" w:fill="FFFFFF"/>
            <w:hideMark/>
          </w:tcPr>
          <w:p w14:paraId="66FEAC73"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Benefits</w:t>
            </w:r>
          </w:p>
        </w:tc>
        <w:tc>
          <w:tcPr>
            <w:tcW w:w="1400" w:type="dxa"/>
            <w:tcBorders>
              <w:top w:val="nil"/>
              <w:left w:val="nil"/>
              <w:bottom w:val="single" w:sz="4" w:space="0" w:color="auto"/>
              <w:right w:val="single" w:sz="4" w:space="0" w:color="auto"/>
            </w:tcBorders>
            <w:shd w:val="clear" w:color="000000" w:fill="FFFFFF"/>
            <w:hideMark/>
          </w:tcPr>
          <w:p w14:paraId="532AB62E"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174,704</w:t>
            </w:r>
          </w:p>
        </w:tc>
        <w:tc>
          <w:tcPr>
            <w:tcW w:w="1400" w:type="dxa"/>
            <w:tcBorders>
              <w:top w:val="nil"/>
              <w:left w:val="nil"/>
              <w:bottom w:val="single" w:sz="4" w:space="0" w:color="auto"/>
              <w:right w:val="single" w:sz="4" w:space="0" w:color="auto"/>
            </w:tcBorders>
            <w:shd w:val="clear" w:color="000000" w:fill="FFFFFF"/>
            <w:hideMark/>
          </w:tcPr>
          <w:p w14:paraId="289BECF6"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195,934</w:t>
            </w:r>
          </w:p>
        </w:tc>
      </w:tr>
      <w:tr w:rsidR="001447FF" w:rsidRPr="001447FF" w14:paraId="46E1A0E5" w14:textId="77777777" w:rsidTr="001447FF">
        <w:trPr>
          <w:trHeight w:val="278"/>
        </w:trPr>
        <w:tc>
          <w:tcPr>
            <w:tcW w:w="2520" w:type="dxa"/>
            <w:vMerge/>
            <w:tcBorders>
              <w:top w:val="single" w:sz="4" w:space="0" w:color="auto"/>
              <w:left w:val="single" w:sz="4" w:space="0" w:color="auto"/>
              <w:bottom w:val="single" w:sz="4" w:space="0" w:color="auto"/>
              <w:right w:val="nil"/>
            </w:tcBorders>
            <w:vAlign w:val="center"/>
            <w:hideMark/>
          </w:tcPr>
          <w:p w14:paraId="6E7866A2"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p>
        </w:tc>
        <w:tc>
          <w:tcPr>
            <w:tcW w:w="3600" w:type="dxa"/>
            <w:tcBorders>
              <w:top w:val="nil"/>
              <w:left w:val="single" w:sz="4" w:space="0" w:color="auto"/>
              <w:bottom w:val="single" w:sz="4" w:space="0" w:color="auto"/>
              <w:right w:val="single" w:sz="4" w:space="0" w:color="auto"/>
            </w:tcBorders>
            <w:shd w:val="clear" w:color="000000" w:fill="FFFFFF"/>
            <w:hideMark/>
          </w:tcPr>
          <w:p w14:paraId="1C064EC3"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Supplies</w:t>
            </w:r>
          </w:p>
        </w:tc>
        <w:tc>
          <w:tcPr>
            <w:tcW w:w="1400" w:type="dxa"/>
            <w:tcBorders>
              <w:top w:val="nil"/>
              <w:left w:val="nil"/>
              <w:bottom w:val="single" w:sz="4" w:space="0" w:color="auto"/>
              <w:right w:val="single" w:sz="4" w:space="0" w:color="auto"/>
            </w:tcBorders>
            <w:shd w:val="clear" w:color="000000" w:fill="FFFFFF"/>
            <w:hideMark/>
          </w:tcPr>
          <w:p w14:paraId="3908623C"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1,250</w:t>
            </w:r>
          </w:p>
        </w:tc>
        <w:tc>
          <w:tcPr>
            <w:tcW w:w="1400" w:type="dxa"/>
            <w:tcBorders>
              <w:top w:val="nil"/>
              <w:left w:val="nil"/>
              <w:bottom w:val="single" w:sz="4" w:space="0" w:color="auto"/>
              <w:right w:val="single" w:sz="4" w:space="0" w:color="auto"/>
            </w:tcBorders>
            <w:shd w:val="clear" w:color="000000" w:fill="FFFFFF"/>
            <w:hideMark/>
          </w:tcPr>
          <w:p w14:paraId="11AD7802"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1,150</w:t>
            </w:r>
          </w:p>
        </w:tc>
      </w:tr>
      <w:tr w:rsidR="001447FF" w:rsidRPr="001447FF" w14:paraId="1DAA5E4B" w14:textId="77777777" w:rsidTr="001447FF">
        <w:trPr>
          <w:trHeight w:val="278"/>
        </w:trPr>
        <w:tc>
          <w:tcPr>
            <w:tcW w:w="2520" w:type="dxa"/>
            <w:vMerge/>
            <w:tcBorders>
              <w:top w:val="single" w:sz="4" w:space="0" w:color="auto"/>
              <w:left w:val="single" w:sz="4" w:space="0" w:color="auto"/>
              <w:bottom w:val="single" w:sz="4" w:space="0" w:color="auto"/>
              <w:right w:val="nil"/>
            </w:tcBorders>
            <w:vAlign w:val="center"/>
            <w:hideMark/>
          </w:tcPr>
          <w:p w14:paraId="58E6458F"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p>
        </w:tc>
        <w:tc>
          <w:tcPr>
            <w:tcW w:w="3600" w:type="dxa"/>
            <w:tcBorders>
              <w:top w:val="nil"/>
              <w:left w:val="single" w:sz="4" w:space="0" w:color="auto"/>
              <w:bottom w:val="single" w:sz="4" w:space="0" w:color="auto"/>
              <w:right w:val="single" w:sz="4" w:space="0" w:color="auto"/>
            </w:tcBorders>
            <w:shd w:val="clear" w:color="000000" w:fill="FFFFFF"/>
            <w:hideMark/>
          </w:tcPr>
          <w:p w14:paraId="15076D06"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Furniture and Equipment Expenses</w:t>
            </w:r>
          </w:p>
        </w:tc>
        <w:tc>
          <w:tcPr>
            <w:tcW w:w="1400" w:type="dxa"/>
            <w:tcBorders>
              <w:top w:val="nil"/>
              <w:left w:val="nil"/>
              <w:bottom w:val="single" w:sz="4" w:space="0" w:color="auto"/>
              <w:right w:val="single" w:sz="4" w:space="0" w:color="auto"/>
            </w:tcBorders>
            <w:shd w:val="clear" w:color="000000" w:fill="FFFFFF"/>
            <w:hideMark/>
          </w:tcPr>
          <w:p w14:paraId="58EE2C23"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111,500</w:t>
            </w:r>
          </w:p>
        </w:tc>
        <w:tc>
          <w:tcPr>
            <w:tcW w:w="1400" w:type="dxa"/>
            <w:tcBorders>
              <w:top w:val="nil"/>
              <w:left w:val="nil"/>
              <w:bottom w:val="single" w:sz="4" w:space="0" w:color="auto"/>
              <w:right w:val="single" w:sz="4" w:space="0" w:color="auto"/>
            </w:tcBorders>
            <w:shd w:val="clear" w:color="000000" w:fill="FFFFFF"/>
            <w:hideMark/>
          </w:tcPr>
          <w:p w14:paraId="442013F4"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76,500</w:t>
            </w:r>
          </w:p>
        </w:tc>
      </w:tr>
      <w:tr w:rsidR="001447FF" w:rsidRPr="001447FF" w14:paraId="60C868E0" w14:textId="77777777" w:rsidTr="001447FF">
        <w:trPr>
          <w:trHeight w:val="278"/>
        </w:trPr>
        <w:tc>
          <w:tcPr>
            <w:tcW w:w="2520" w:type="dxa"/>
            <w:vMerge/>
            <w:tcBorders>
              <w:top w:val="single" w:sz="4" w:space="0" w:color="auto"/>
              <w:left w:val="single" w:sz="4" w:space="0" w:color="auto"/>
              <w:bottom w:val="single" w:sz="4" w:space="0" w:color="auto"/>
              <w:right w:val="nil"/>
            </w:tcBorders>
            <w:vAlign w:val="center"/>
            <w:hideMark/>
          </w:tcPr>
          <w:p w14:paraId="2BF0373E"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p>
        </w:tc>
        <w:tc>
          <w:tcPr>
            <w:tcW w:w="3600" w:type="dxa"/>
            <w:tcBorders>
              <w:top w:val="nil"/>
              <w:left w:val="single" w:sz="4" w:space="0" w:color="auto"/>
              <w:bottom w:val="single" w:sz="4" w:space="0" w:color="auto"/>
              <w:right w:val="single" w:sz="4" w:space="0" w:color="auto"/>
            </w:tcBorders>
            <w:shd w:val="clear" w:color="000000" w:fill="FFFFFF"/>
            <w:hideMark/>
          </w:tcPr>
          <w:p w14:paraId="398410C1"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HR and Professional Development</w:t>
            </w:r>
          </w:p>
        </w:tc>
        <w:tc>
          <w:tcPr>
            <w:tcW w:w="1400" w:type="dxa"/>
            <w:tcBorders>
              <w:top w:val="nil"/>
              <w:left w:val="nil"/>
              <w:bottom w:val="single" w:sz="4" w:space="0" w:color="auto"/>
              <w:right w:val="single" w:sz="4" w:space="0" w:color="auto"/>
            </w:tcBorders>
            <w:shd w:val="clear" w:color="000000" w:fill="FFFFFF"/>
            <w:hideMark/>
          </w:tcPr>
          <w:p w14:paraId="1A837DAE"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11,500</w:t>
            </w:r>
          </w:p>
        </w:tc>
        <w:tc>
          <w:tcPr>
            <w:tcW w:w="1400" w:type="dxa"/>
            <w:tcBorders>
              <w:top w:val="nil"/>
              <w:left w:val="nil"/>
              <w:bottom w:val="single" w:sz="4" w:space="0" w:color="auto"/>
              <w:right w:val="single" w:sz="4" w:space="0" w:color="auto"/>
            </w:tcBorders>
            <w:shd w:val="clear" w:color="000000" w:fill="FFFFFF"/>
            <w:hideMark/>
          </w:tcPr>
          <w:p w14:paraId="41792D37"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9,000</w:t>
            </w:r>
          </w:p>
        </w:tc>
      </w:tr>
      <w:tr w:rsidR="001447FF" w:rsidRPr="001447FF" w14:paraId="3030AB14" w14:textId="77777777" w:rsidTr="001447FF">
        <w:trPr>
          <w:trHeight w:val="278"/>
        </w:trPr>
        <w:tc>
          <w:tcPr>
            <w:tcW w:w="2520" w:type="dxa"/>
            <w:vMerge/>
            <w:tcBorders>
              <w:top w:val="single" w:sz="4" w:space="0" w:color="auto"/>
              <w:left w:val="single" w:sz="4" w:space="0" w:color="auto"/>
              <w:bottom w:val="single" w:sz="4" w:space="0" w:color="auto"/>
              <w:right w:val="nil"/>
            </w:tcBorders>
            <w:vAlign w:val="center"/>
            <w:hideMark/>
          </w:tcPr>
          <w:p w14:paraId="036C47AC"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p>
        </w:tc>
        <w:tc>
          <w:tcPr>
            <w:tcW w:w="3600" w:type="dxa"/>
            <w:tcBorders>
              <w:top w:val="nil"/>
              <w:left w:val="single" w:sz="4" w:space="0" w:color="auto"/>
              <w:bottom w:val="single" w:sz="4" w:space="0" w:color="auto"/>
              <w:right w:val="single" w:sz="4" w:space="0" w:color="auto"/>
            </w:tcBorders>
            <w:shd w:val="clear" w:color="000000" w:fill="FFFFFF"/>
            <w:hideMark/>
          </w:tcPr>
          <w:p w14:paraId="6C065358"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IT and Communication</w:t>
            </w:r>
          </w:p>
        </w:tc>
        <w:tc>
          <w:tcPr>
            <w:tcW w:w="1400" w:type="dxa"/>
            <w:tcBorders>
              <w:top w:val="nil"/>
              <w:left w:val="nil"/>
              <w:bottom w:val="single" w:sz="4" w:space="0" w:color="auto"/>
              <w:right w:val="single" w:sz="4" w:space="0" w:color="auto"/>
            </w:tcBorders>
            <w:shd w:val="clear" w:color="000000" w:fill="FFFFFF"/>
            <w:hideMark/>
          </w:tcPr>
          <w:p w14:paraId="49B84A35"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6,800</w:t>
            </w:r>
          </w:p>
        </w:tc>
        <w:tc>
          <w:tcPr>
            <w:tcW w:w="1400" w:type="dxa"/>
            <w:tcBorders>
              <w:top w:val="nil"/>
              <w:left w:val="nil"/>
              <w:bottom w:val="single" w:sz="4" w:space="0" w:color="auto"/>
              <w:right w:val="single" w:sz="4" w:space="0" w:color="auto"/>
            </w:tcBorders>
            <w:shd w:val="clear" w:color="000000" w:fill="FFFFFF"/>
            <w:hideMark/>
          </w:tcPr>
          <w:p w14:paraId="3E03BB2E"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6,300</w:t>
            </w:r>
          </w:p>
        </w:tc>
      </w:tr>
      <w:tr w:rsidR="001447FF" w:rsidRPr="001447FF" w14:paraId="27878CA1" w14:textId="77777777" w:rsidTr="001447FF">
        <w:trPr>
          <w:trHeight w:val="278"/>
        </w:trPr>
        <w:tc>
          <w:tcPr>
            <w:tcW w:w="2520" w:type="dxa"/>
            <w:vMerge/>
            <w:tcBorders>
              <w:top w:val="single" w:sz="4" w:space="0" w:color="auto"/>
              <w:left w:val="single" w:sz="4" w:space="0" w:color="auto"/>
              <w:bottom w:val="single" w:sz="4" w:space="0" w:color="auto"/>
              <w:right w:val="nil"/>
            </w:tcBorders>
            <w:vAlign w:val="center"/>
            <w:hideMark/>
          </w:tcPr>
          <w:p w14:paraId="561FF029"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p>
        </w:tc>
        <w:tc>
          <w:tcPr>
            <w:tcW w:w="3600" w:type="dxa"/>
            <w:tcBorders>
              <w:top w:val="nil"/>
              <w:left w:val="single" w:sz="4" w:space="0" w:color="auto"/>
              <w:bottom w:val="single" w:sz="4" w:space="0" w:color="auto"/>
              <w:right w:val="single" w:sz="4" w:space="0" w:color="auto"/>
            </w:tcBorders>
            <w:shd w:val="clear" w:color="000000" w:fill="FFFFFF"/>
            <w:hideMark/>
          </w:tcPr>
          <w:p w14:paraId="224D4331"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Travel Expenses</w:t>
            </w:r>
          </w:p>
        </w:tc>
        <w:tc>
          <w:tcPr>
            <w:tcW w:w="1400" w:type="dxa"/>
            <w:tcBorders>
              <w:top w:val="nil"/>
              <w:left w:val="nil"/>
              <w:bottom w:val="single" w:sz="4" w:space="0" w:color="auto"/>
              <w:right w:val="single" w:sz="4" w:space="0" w:color="auto"/>
            </w:tcBorders>
            <w:shd w:val="clear" w:color="000000" w:fill="FFFFFF"/>
            <w:hideMark/>
          </w:tcPr>
          <w:p w14:paraId="091770AB"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16,500</w:t>
            </w:r>
          </w:p>
        </w:tc>
        <w:tc>
          <w:tcPr>
            <w:tcW w:w="1400" w:type="dxa"/>
            <w:tcBorders>
              <w:top w:val="nil"/>
              <w:left w:val="nil"/>
              <w:bottom w:val="single" w:sz="4" w:space="0" w:color="auto"/>
              <w:right w:val="single" w:sz="4" w:space="0" w:color="auto"/>
            </w:tcBorders>
            <w:shd w:val="clear" w:color="000000" w:fill="FFFFFF"/>
            <w:hideMark/>
          </w:tcPr>
          <w:p w14:paraId="6349F6A2"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16,000</w:t>
            </w:r>
          </w:p>
        </w:tc>
      </w:tr>
      <w:tr w:rsidR="001447FF" w:rsidRPr="001447FF" w14:paraId="1E70EE79" w14:textId="77777777" w:rsidTr="001447FF">
        <w:trPr>
          <w:trHeight w:val="278"/>
        </w:trPr>
        <w:tc>
          <w:tcPr>
            <w:tcW w:w="2520" w:type="dxa"/>
            <w:vMerge/>
            <w:tcBorders>
              <w:top w:val="single" w:sz="4" w:space="0" w:color="auto"/>
              <w:left w:val="single" w:sz="4" w:space="0" w:color="auto"/>
              <w:bottom w:val="single" w:sz="4" w:space="0" w:color="auto"/>
              <w:right w:val="nil"/>
            </w:tcBorders>
            <w:vAlign w:val="center"/>
            <w:hideMark/>
          </w:tcPr>
          <w:p w14:paraId="162AC5EC"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p>
        </w:tc>
        <w:tc>
          <w:tcPr>
            <w:tcW w:w="3600" w:type="dxa"/>
            <w:tcBorders>
              <w:top w:val="nil"/>
              <w:left w:val="single" w:sz="4" w:space="0" w:color="auto"/>
              <w:bottom w:val="single" w:sz="4" w:space="0" w:color="auto"/>
              <w:right w:val="single" w:sz="4" w:space="0" w:color="auto"/>
            </w:tcBorders>
            <w:shd w:val="clear" w:color="000000" w:fill="FFFFFF"/>
            <w:hideMark/>
          </w:tcPr>
          <w:p w14:paraId="01F7A284"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Vehicle Expenses</w:t>
            </w:r>
          </w:p>
        </w:tc>
        <w:tc>
          <w:tcPr>
            <w:tcW w:w="1400" w:type="dxa"/>
            <w:tcBorders>
              <w:top w:val="nil"/>
              <w:left w:val="nil"/>
              <w:bottom w:val="single" w:sz="4" w:space="0" w:color="auto"/>
              <w:right w:val="single" w:sz="4" w:space="0" w:color="auto"/>
            </w:tcBorders>
            <w:shd w:val="clear" w:color="000000" w:fill="FFFFFF"/>
            <w:hideMark/>
          </w:tcPr>
          <w:p w14:paraId="142242C6"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57,500</w:t>
            </w:r>
          </w:p>
        </w:tc>
        <w:tc>
          <w:tcPr>
            <w:tcW w:w="1400" w:type="dxa"/>
            <w:tcBorders>
              <w:top w:val="nil"/>
              <w:left w:val="nil"/>
              <w:bottom w:val="single" w:sz="4" w:space="0" w:color="auto"/>
              <w:right w:val="single" w:sz="4" w:space="0" w:color="auto"/>
            </w:tcBorders>
            <w:shd w:val="clear" w:color="000000" w:fill="FFFFFF"/>
            <w:hideMark/>
          </w:tcPr>
          <w:p w14:paraId="01686ED7"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54,500</w:t>
            </w:r>
          </w:p>
        </w:tc>
      </w:tr>
      <w:tr w:rsidR="001447FF" w:rsidRPr="001447FF" w14:paraId="1E2CE1D1" w14:textId="77777777" w:rsidTr="001447FF">
        <w:trPr>
          <w:trHeight w:val="278"/>
        </w:trPr>
        <w:tc>
          <w:tcPr>
            <w:tcW w:w="2520" w:type="dxa"/>
            <w:vMerge/>
            <w:tcBorders>
              <w:top w:val="single" w:sz="4" w:space="0" w:color="auto"/>
              <w:left w:val="single" w:sz="4" w:space="0" w:color="auto"/>
              <w:bottom w:val="single" w:sz="4" w:space="0" w:color="auto"/>
              <w:right w:val="nil"/>
            </w:tcBorders>
            <w:vAlign w:val="center"/>
            <w:hideMark/>
          </w:tcPr>
          <w:p w14:paraId="6D794C8E"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p>
        </w:tc>
        <w:tc>
          <w:tcPr>
            <w:tcW w:w="3600" w:type="dxa"/>
            <w:tcBorders>
              <w:top w:val="nil"/>
              <w:left w:val="single" w:sz="4" w:space="0" w:color="auto"/>
              <w:bottom w:val="single" w:sz="4" w:space="0" w:color="auto"/>
              <w:right w:val="single" w:sz="4" w:space="0" w:color="auto"/>
            </w:tcBorders>
            <w:shd w:val="clear" w:color="000000" w:fill="FFFFFF"/>
            <w:hideMark/>
          </w:tcPr>
          <w:p w14:paraId="617ADC8E"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Insurance</w:t>
            </w:r>
          </w:p>
        </w:tc>
        <w:tc>
          <w:tcPr>
            <w:tcW w:w="1400" w:type="dxa"/>
            <w:tcBorders>
              <w:top w:val="nil"/>
              <w:left w:val="nil"/>
              <w:bottom w:val="single" w:sz="4" w:space="0" w:color="auto"/>
              <w:right w:val="single" w:sz="4" w:space="0" w:color="auto"/>
            </w:tcBorders>
            <w:shd w:val="clear" w:color="000000" w:fill="FFFFFF"/>
            <w:hideMark/>
          </w:tcPr>
          <w:p w14:paraId="416C2AA6" w14:textId="4CA0EEC3" w:rsidR="001447FF" w:rsidRPr="001447FF" w:rsidRDefault="006B3445" w:rsidP="001447FF">
            <w:pPr>
              <w:spacing w:after="0" w:line="240" w:lineRule="auto"/>
              <w:jc w:val="right"/>
              <w:rPr>
                <w:rFonts w:ascii="Calibri Light" w:eastAsia="Times New Roman" w:hAnsi="Calibri Light" w:cs="Calibri Light"/>
                <w:color w:val="000000"/>
                <w:sz w:val="20"/>
                <w:szCs w:val="20"/>
                <w:lang w:eastAsia="en-CA"/>
              </w:rPr>
            </w:pPr>
            <w:r>
              <w:rPr>
                <w:rFonts w:ascii="Calibri Light" w:eastAsia="Times New Roman" w:hAnsi="Calibri Light" w:cs="Calibri Light"/>
                <w:color w:val="000000"/>
                <w:sz w:val="20"/>
                <w:szCs w:val="20"/>
                <w:lang w:eastAsia="en-CA"/>
              </w:rPr>
              <w:t>90</w:t>
            </w:r>
            <w:r w:rsidR="001447FF" w:rsidRPr="001447FF">
              <w:rPr>
                <w:rFonts w:ascii="Calibri Light" w:eastAsia="Times New Roman" w:hAnsi="Calibri Light" w:cs="Calibri Light"/>
                <w:color w:val="000000"/>
                <w:sz w:val="20"/>
                <w:szCs w:val="20"/>
                <w:lang w:eastAsia="en-CA"/>
              </w:rPr>
              <w:t>,000</w:t>
            </w:r>
          </w:p>
        </w:tc>
        <w:tc>
          <w:tcPr>
            <w:tcW w:w="1400" w:type="dxa"/>
            <w:tcBorders>
              <w:top w:val="nil"/>
              <w:left w:val="nil"/>
              <w:bottom w:val="single" w:sz="4" w:space="0" w:color="auto"/>
              <w:right w:val="single" w:sz="4" w:space="0" w:color="auto"/>
            </w:tcBorders>
            <w:shd w:val="clear" w:color="000000" w:fill="FFFFFF"/>
            <w:hideMark/>
          </w:tcPr>
          <w:p w14:paraId="6DACEDD4" w14:textId="77777777" w:rsidR="001447FF" w:rsidRPr="001447FF" w:rsidRDefault="001447FF" w:rsidP="001447FF">
            <w:pPr>
              <w:spacing w:after="0" w:line="240" w:lineRule="auto"/>
              <w:jc w:val="right"/>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90,000</w:t>
            </w:r>
          </w:p>
        </w:tc>
      </w:tr>
      <w:tr w:rsidR="001447FF" w:rsidRPr="001447FF" w14:paraId="1BF431BB" w14:textId="77777777" w:rsidTr="001447FF">
        <w:trPr>
          <w:trHeight w:val="278"/>
        </w:trPr>
        <w:tc>
          <w:tcPr>
            <w:tcW w:w="2520" w:type="dxa"/>
            <w:tcBorders>
              <w:top w:val="nil"/>
              <w:left w:val="single" w:sz="4" w:space="0" w:color="000000"/>
              <w:bottom w:val="single" w:sz="4" w:space="0" w:color="000000"/>
              <w:right w:val="nil"/>
            </w:tcBorders>
            <w:shd w:val="clear" w:color="000000" w:fill="FFFFFF"/>
            <w:hideMark/>
          </w:tcPr>
          <w:p w14:paraId="3ADFD5E2" w14:textId="77777777" w:rsidR="001447FF" w:rsidRPr="001447FF" w:rsidRDefault="001447FF" w:rsidP="001447FF">
            <w:pPr>
              <w:spacing w:after="0" w:line="240" w:lineRule="auto"/>
              <w:rPr>
                <w:rFonts w:ascii="Calibri Light" w:eastAsia="Times New Roman" w:hAnsi="Calibri Light" w:cs="Calibri Light"/>
                <w:color w:val="000000"/>
                <w:sz w:val="20"/>
                <w:szCs w:val="20"/>
                <w:lang w:eastAsia="en-CA"/>
              </w:rPr>
            </w:pPr>
            <w:r w:rsidRPr="001447FF">
              <w:rPr>
                <w:rFonts w:ascii="Calibri Light" w:eastAsia="Times New Roman" w:hAnsi="Calibri Light" w:cs="Calibri Light"/>
                <w:color w:val="000000"/>
                <w:sz w:val="20"/>
                <w:szCs w:val="20"/>
                <w:lang w:eastAsia="en-CA"/>
              </w:rPr>
              <w:t> </w:t>
            </w:r>
          </w:p>
        </w:tc>
        <w:tc>
          <w:tcPr>
            <w:tcW w:w="3600" w:type="dxa"/>
            <w:tcBorders>
              <w:top w:val="nil"/>
              <w:left w:val="single" w:sz="4" w:space="0" w:color="auto"/>
              <w:bottom w:val="single" w:sz="4" w:space="0" w:color="auto"/>
              <w:right w:val="single" w:sz="4" w:space="0" w:color="auto"/>
            </w:tcBorders>
            <w:shd w:val="clear" w:color="000000" w:fill="FFFFFF"/>
            <w:hideMark/>
          </w:tcPr>
          <w:p w14:paraId="381D1977" w14:textId="77777777" w:rsidR="001447FF" w:rsidRPr="001447FF" w:rsidRDefault="001447FF" w:rsidP="001447FF">
            <w:pPr>
              <w:spacing w:after="0" w:line="240" w:lineRule="auto"/>
              <w:rPr>
                <w:rFonts w:ascii="Calibri Light" w:eastAsia="Times New Roman" w:hAnsi="Calibri Light" w:cs="Calibri Light"/>
                <w:b/>
                <w:bCs/>
                <w:color w:val="000000"/>
                <w:sz w:val="20"/>
                <w:szCs w:val="20"/>
                <w:lang w:eastAsia="en-CA"/>
              </w:rPr>
            </w:pPr>
            <w:r w:rsidRPr="001447FF">
              <w:rPr>
                <w:rFonts w:ascii="Calibri Light" w:eastAsia="Times New Roman" w:hAnsi="Calibri Light" w:cs="Calibri Light"/>
                <w:b/>
                <w:bCs/>
                <w:color w:val="000000"/>
                <w:sz w:val="20"/>
                <w:szCs w:val="20"/>
                <w:lang w:eastAsia="en-CA"/>
              </w:rPr>
              <w:t>Total Expenses</w:t>
            </w:r>
          </w:p>
        </w:tc>
        <w:tc>
          <w:tcPr>
            <w:tcW w:w="1400" w:type="dxa"/>
            <w:tcBorders>
              <w:top w:val="nil"/>
              <w:left w:val="nil"/>
              <w:bottom w:val="single" w:sz="4" w:space="0" w:color="auto"/>
              <w:right w:val="single" w:sz="4" w:space="0" w:color="auto"/>
            </w:tcBorders>
            <w:shd w:val="clear" w:color="000000" w:fill="FFFFFF"/>
            <w:hideMark/>
          </w:tcPr>
          <w:p w14:paraId="4F66C651" w14:textId="77777777" w:rsidR="001447FF" w:rsidRPr="001447FF" w:rsidRDefault="001447FF" w:rsidP="001447FF">
            <w:pPr>
              <w:spacing w:after="0" w:line="240" w:lineRule="auto"/>
              <w:jc w:val="right"/>
              <w:rPr>
                <w:rFonts w:ascii="Calibri Light" w:eastAsia="Times New Roman" w:hAnsi="Calibri Light" w:cs="Calibri Light"/>
                <w:b/>
                <w:bCs/>
                <w:color w:val="000000"/>
                <w:sz w:val="20"/>
                <w:szCs w:val="20"/>
                <w:lang w:eastAsia="en-CA"/>
              </w:rPr>
            </w:pPr>
            <w:r w:rsidRPr="001447FF">
              <w:rPr>
                <w:rFonts w:ascii="Calibri Light" w:eastAsia="Times New Roman" w:hAnsi="Calibri Light" w:cs="Calibri Light"/>
                <w:b/>
                <w:bCs/>
                <w:color w:val="000000"/>
                <w:sz w:val="20"/>
                <w:szCs w:val="20"/>
                <w:lang w:eastAsia="en-CA"/>
              </w:rPr>
              <w:t>7,915,846</w:t>
            </w:r>
          </w:p>
        </w:tc>
        <w:tc>
          <w:tcPr>
            <w:tcW w:w="1400" w:type="dxa"/>
            <w:tcBorders>
              <w:top w:val="nil"/>
              <w:left w:val="nil"/>
              <w:bottom w:val="single" w:sz="4" w:space="0" w:color="auto"/>
              <w:right w:val="single" w:sz="4" w:space="0" w:color="auto"/>
            </w:tcBorders>
            <w:shd w:val="clear" w:color="000000" w:fill="FFFFFF"/>
            <w:hideMark/>
          </w:tcPr>
          <w:p w14:paraId="34D2F455" w14:textId="77777777" w:rsidR="001447FF" w:rsidRPr="001447FF" w:rsidRDefault="001447FF" w:rsidP="001447FF">
            <w:pPr>
              <w:spacing w:after="0" w:line="240" w:lineRule="auto"/>
              <w:jc w:val="right"/>
              <w:rPr>
                <w:rFonts w:ascii="Calibri Light" w:eastAsia="Times New Roman" w:hAnsi="Calibri Light" w:cs="Calibri Light"/>
                <w:b/>
                <w:bCs/>
                <w:color w:val="000000"/>
                <w:sz w:val="20"/>
                <w:szCs w:val="20"/>
                <w:lang w:eastAsia="en-CA"/>
              </w:rPr>
            </w:pPr>
            <w:r w:rsidRPr="001447FF">
              <w:rPr>
                <w:rFonts w:ascii="Calibri Light" w:eastAsia="Times New Roman" w:hAnsi="Calibri Light" w:cs="Calibri Light"/>
                <w:b/>
                <w:bCs/>
                <w:color w:val="000000"/>
                <w:sz w:val="20"/>
                <w:szCs w:val="20"/>
                <w:lang w:eastAsia="en-CA"/>
              </w:rPr>
              <w:t>8,188,600</w:t>
            </w:r>
          </w:p>
        </w:tc>
      </w:tr>
    </w:tbl>
    <w:p w14:paraId="25D1D522" w14:textId="021C4FEB" w:rsidR="001B6FB2" w:rsidRDefault="00096CB2" w:rsidP="00F60EFC">
      <w:pPr>
        <w:pStyle w:val="NoSpacing"/>
        <w:rPr>
          <w:rFonts w:asciiTheme="majorHAnsi" w:hAnsiTheme="majorHAnsi" w:cstheme="majorHAnsi"/>
          <w:sz w:val="24"/>
          <w:szCs w:val="24"/>
          <w:lang w:val="en-US"/>
        </w:rPr>
      </w:pPr>
      <w:r w:rsidRPr="003F1A42">
        <w:rPr>
          <w:rFonts w:ascii="Calibri Light" w:hAnsi="Calibri Light" w:cs="Calibri Light"/>
          <w:sz w:val="24"/>
          <w:szCs w:val="24"/>
          <w:lang w:val="en-US"/>
        </w:rPr>
        <w:lastRenderedPageBreak/>
        <w:t xml:space="preserve">The </w:t>
      </w:r>
      <w:r w:rsidR="00122941" w:rsidRPr="003F1A42">
        <w:rPr>
          <w:rFonts w:ascii="Calibri Light" w:hAnsi="Calibri Light" w:cs="Calibri Light"/>
          <w:sz w:val="24"/>
          <w:szCs w:val="24"/>
          <w:lang w:val="en-US"/>
        </w:rPr>
        <w:t>most significant change</w:t>
      </w:r>
      <w:r w:rsidR="00B66610" w:rsidRPr="003F1A42">
        <w:rPr>
          <w:rFonts w:asciiTheme="majorHAnsi" w:hAnsiTheme="majorHAnsi" w:cstheme="majorHAnsi"/>
          <w:sz w:val="24"/>
          <w:szCs w:val="24"/>
          <w:lang w:val="en-US"/>
        </w:rPr>
        <w:t xml:space="preserve"> </w:t>
      </w:r>
      <w:r w:rsidR="00C83539">
        <w:rPr>
          <w:rFonts w:asciiTheme="majorHAnsi" w:hAnsiTheme="majorHAnsi" w:cstheme="majorHAnsi"/>
          <w:sz w:val="24"/>
          <w:szCs w:val="24"/>
          <w:lang w:val="en-US"/>
        </w:rPr>
        <w:t xml:space="preserve">in the </w:t>
      </w:r>
      <w:r w:rsidR="00B66610" w:rsidRPr="003F1A42">
        <w:rPr>
          <w:rFonts w:asciiTheme="majorHAnsi" w:hAnsiTheme="majorHAnsi" w:cstheme="majorHAnsi"/>
          <w:sz w:val="24"/>
          <w:szCs w:val="24"/>
          <w:lang w:val="en-US"/>
        </w:rPr>
        <w:t>facilities budget</w:t>
      </w:r>
      <w:r w:rsidR="003F3E85" w:rsidRPr="003F1A42">
        <w:rPr>
          <w:rFonts w:asciiTheme="majorHAnsi" w:hAnsiTheme="majorHAnsi" w:cstheme="majorHAnsi"/>
          <w:sz w:val="24"/>
          <w:szCs w:val="24"/>
          <w:lang w:val="en-US"/>
        </w:rPr>
        <w:t xml:space="preserve"> was the decrease in the custodial</w:t>
      </w:r>
      <w:r w:rsidR="00B66610" w:rsidRPr="003F1A42">
        <w:rPr>
          <w:rFonts w:asciiTheme="majorHAnsi" w:hAnsiTheme="majorHAnsi" w:cstheme="majorHAnsi"/>
          <w:sz w:val="24"/>
          <w:szCs w:val="24"/>
          <w:lang w:val="en-US"/>
        </w:rPr>
        <w:t xml:space="preserve"> operations s</w:t>
      </w:r>
      <w:r w:rsidR="003F3E85" w:rsidRPr="003F1A42">
        <w:rPr>
          <w:rFonts w:asciiTheme="majorHAnsi" w:hAnsiTheme="majorHAnsi" w:cstheme="majorHAnsi"/>
          <w:sz w:val="24"/>
          <w:szCs w:val="24"/>
          <w:lang w:val="en-US"/>
        </w:rPr>
        <w:t>taffing costs</w:t>
      </w:r>
      <w:r w:rsidR="00144954" w:rsidRPr="003F1A42">
        <w:rPr>
          <w:rFonts w:asciiTheme="majorHAnsi" w:hAnsiTheme="majorHAnsi" w:cstheme="majorHAnsi"/>
          <w:sz w:val="24"/>
          <w:szCs w:val="24"/>
          <w:lang w:val="en-US"/>
        </w:rPr>
        <w:t xml:space="preserve"> that is the result of a PPF </w:t>
      </w:r>
      <w:r w:rsidR="00D02C9B" w:rsidRPr="003F1A42">
        <w:rPr>
          <w:rFonts w:asciiTheme="majorHAnsi" w:hAnsiTheme="majorHAnsi" w:cstheme="majorHAnsi"/>
          <w:sz w:val="24"/>
          <w:szCs w:val="24"/>
          <w:lang w:val="en-US"/>
        </w:rPr>
        <w:t>provided in 202</w:t>
      </w:r>
      <w:r w:rsidR="00C85577">
        <w:rPr>
          <w:rFonts w:asciiTheme="majorHAnsi" w:hAnsiTheme="majorHAnsi" w:cstheme="majorHAnsi"/>
          <w:sz w:val="24"/>
          <w:szCs w:val="24"/>
          <w:lang w:val="en-US"/>
        </w:rPr>
        <w:t>1</w:t>
      </w:r>
      <w:r w:rsidR="00D02C9B" w:rsidRPr="003F1A42">
        <w:rPr>
          <w:rFonts w:asciiTheme="majorHAnsi" w:hAnsiTheme="majorHAnsi" w:cstheme="majorHAnsi"/>
          <w:sz w:val="24"/>
          <w:szCs w:val="24"/>
          <w:lang w:val="en-US"/>
        </w:rPr>
        <w:t>-2</w:t>
      </w:r>
      <w:r w:rsidR="00C85577">
        <w:rPr>
          <w:rFonts w:asciiTheme="majorHAnsi" w:hAnsiTheme="majorHAnsi" w:cstheme="majorHAnsi"/>
          <w:sz w:val="24"/>
          <w:szCs w:val="24"/>
          <w:lang w:val="en-US"/>
        </w:rPr>
        <w:t>2</w:t>
      </w:r>
      <w:r w:rsidR="00D02C9B" w:rsidRPr="003F1A42">
        <w:rPr>
          <w:rFonts w:asciiTheme="majorHAnsi" w:hAnsiTheme="majorHAnsi" w:cstheme="majorHAnsi"/>
          <w:sz w:val="24"/>
          <w:szCs w:val="24"/>
          <w:lang w:val="en-US"/>
        </w:rPr>
        <w:t xml:space="preserve"> that is no longer available</w:t>
      </w:r>
      <w:r w:rsidR="006B3445">
        <w:rPr>
          <w:rFonts w:asciiTheme="majorHAnsi" w:hAnsiTheme="majorHAnsi" w:cstheme="majorHAnsi"/>
          <w:sz w:val="24"/>
          <w:szCs w:val="24"/>
          <w:lang w:val="en-US"/>
        </w:rPr>
        <w:t>, this affects both staffing and supplies</w:t>
      </w:r>
      <w:r w:rsidR="00742E71" w:rsidRPr="003F1A42">
        <w:rPr>
          <w:rFonts w:asciiTheme="majorHAnsi" w:hAnsiTheme="majorHAnsi" w:cstheme="majorHAnsi"/>
          <w:sz w:val="24"/>
          <w:szCs w:val="24"/>
          <w:lang w:val="en-US"/>
        </w:rPr>
        <w:t>.</w:t>
      </w:r>
    </w:p>
    <w:p w14:paraId="3DD6DA76" w14:textId="654C0434" w:rsidR="006C3F27" w:rsidRPr="003F1A42" w:rsidRDefault="001B6FB2" w:rsidP="00F60EFC">
      <w:pPr>
        <w:pStyle w:val="NoSpacing"/>
        <w:rPr>
          <w:rFonts w:asciiTheme="majorHAnsi" w:hAnsiTheme="majorHAnsi" w:cstheme="majorHAnsi"/>
          <w:sz w:val="24"/>
          <w:szCs w:val="24"/>
          <w:lang w:val="en-US"/>
        </w:rPr>
      </w:pPr>
      <w:r>
        <w:rPr>
          <w:rFonts w:asciiTheme="majorHAnsi" w:hAnsiTheme="majorHAnsi" w:cstheme="majorHAnsi"/>
          <w:sz w:val="24"/>
          <w:szCs w:val="24"/>
          <w:lang w:val="en-US"/>
        </w:rPr>
        <w:t>The increase in custodial services</w:t>
      </w:r>
      <w:r w:rsidR="00747CE8">
        <w:rPr>
          <w:rFonts w:asciiTheme="majorHAnsi" w:hAnsiTheme="majorHAnsi" w:cstheme="majorHAnsi"/>
          <w:sz w:val="24"/>
          <w:szCs w:val="24"/>
          <w:lang w:val="en-US"/>
        </w:rPr>
        <w:t xml:space="preserve"> is the result of increasing </w:t>
      </w:r>
      <w:r w:rsidR="00383422">
        <w:rPr>
          <w:rFonts w:asciiTheme="majorHAnsi" w:hAnsiTheme="majorHAnsi" w:cstheme="majorHAnsi"/>
          <w:sz w:val="24"/>
          <w:szCs w:val="24"/>
          <w:lang w:val="en-US"/>
        </w:rPr>
        <w:t xml:space="preserve">the contract for replacement custodial services from </w:t>
      </w:r>
      <w:r w:rsidR="00AC592E">
        <w:rPr>
          <w:rFonts w:asciiTheme="majorHAnsi" w:hAnsiTheme="majorHAnsi" w:cstheme="majorHAnsi"/>
          <w:sz w:val="24"/>
          <w:szCs w:val="24"/>
          <w:lang w:val="en-US"/>
        </w:rPr>
        <w:t xml:space="preserve">20 </w:t>
      </w:r>
      <w:proofErr w:type="spellStart"/>
      <w:r w:rsidR="00AC592E">
        <w:rPr>
          <w:rFonts w:asciiTheme="majorHAnsi" w:hAnsiTheme="majorHAnsi" w:cstheme="majorHAnsi"/>
          <w:sz w:val="24"/>
          <w:szCs w:val="24"/>
          <w:lang w:val="en-US"/>
        </w:rPr>
        <w:t>hr</w:t>
      </w:r>
      <w:r w:rsidR="00240442">
        <w:rPr>
          <w:rFonts w:asciiTheme="majorHAnsi" w:hAnsiTheme="majorHAnsi" w:cstheme="majorHAnsi"/>
          <w:sz w:val="24"/>
          <w:szCs w:val="24"/>
          <w:lang w:val="en-US"/>
        </w:rPr>
        <w:t>s</w:t>
      </w:r>
      <w:proofErr w:type="spellEnd"/>
      <w:r w:rsidR="00AC592E">
        <w:rPr>
          <w:rFonts w:asciiTheme="majorHAnsi" w:hAnsiTheme="majorHAnsi" w:cstheme="majorHAnsi"/>
          <w:sz w:val="24"/>
          <w:szCs w:val="24"/>
          <w:lang w:val="en-US"/>
        </w:rPr>
        <w:t xml:space="preserve">/day to 48 </w:t>
      </w:r>
      <w:proofErr w:type="spellStart"/>
      <w:r w:rsidR="00AC592E">
        <w:rPr>
          <w:rFonts w:asciiTheme="majorHAnsi" w:hAnsiTheme="majorHAnsi" w:cstheme="majorHAnsi"/>
          <w:sz w:val="24"/>
          <w:szCs w:val="24"/>
          <w:lang w:val="en-US"/>
        </w:rPr>
        <w:t>hrs</w:t>
      </w:r>
      <w:proofErr w:type="spellEnd"/>
      <w:r w:rsidR="00AC592E">
        <w:rPr>
          <w:rFonts w:asciiTheme="majorHAnsi" w:hAnsiTheme="majorHAnsi" w:cstheme="majorHAnsi"/>
          <w:sz w:val="24"/>
          <w:szCs w:val="24"/>
          <w:lang w:val="en-US"/>
        </w:rPr>
        <w:t>/day to address high levels of absences</w:t>
      </w:r>
      <w:r w:rsidR="00240442">
        <w:rPr>
          <w:rFonts w:asciiTheme="majorHAnsi" w:hAnsiTheme="majorHAnsi" w:cstheme="majorHAnsi"/>
          <w:sz w:val="24"/>
          <w:szCs w:val="24"/>
          <w:lang w:val="en-US"/>
        </w:rPr>
        <w:t>.</w:t>
      </w:r>
      <w:r w:rsidR="00742E71" w:rsidRPr="003F1A42">
        <w:rPr>
          <w:rFonts w:asciiTheme="majorHAnsi" w:hAnsiTheme="majorHAnsi" w:cstheme="majorHAnsi"/>
          <w:sz w:val="24"/>
          <w:szCs w:val="24"/>
          <w:lang w:val="en-US"/>
        </w:rPr>
        <w:t xml:space="preserve">  </w:t>
      </w:r>
    </w:p>
    <w:p w14:paraId="44876AB4" w14:textId="25E3A10B" w:rsidR="00635CFD" w:rsidRPr="001B269F" w:rsidRDefault="00156A30" w:rsidP="00F90166">
      <w:pPr>
        <w:pStyle w:val="NoSpacing"/>
        <w:rPr>
          <w:rFonts w:asciiTheme="majorHAnsi" w:hAnsiTheme="majorHAnsi" w:cstheme="majorHAnsi"/>
          <w:sz w:val="24"/>
          <w:szCs w:val="24"/>
        </w:rPr>
      </w:pPr>
      <w:r w:rsidRPr="001B269F">
        <w:rPr>
          <w:rFonts w:asciiTheme="majorHAnsi" w:hAnsiTheme="majorHAnsi" w:cstheme="majorHAnsi"/>
          <w:sz w:val="24"/>
          <w:szCs w:val="24"/>
        </w:rPr>
        <w:t xml:space="preserve">The budget for natural gas is estimated to </w:t>
      </w:r>
      <w:r w:rsidR="007E59C4" w:rsidRPr="001B269F">
        <w:rPr>
          <w:rFonts w:asciiTheme="majorHAnsi" w:hAnsiTheme="majorHAnsi" w:cstheme="majorHAnsi"/>
          <w:sz w:val="24"/>
          <w:szCs w:val="24"/>
        </w:rPr>
        <w:t xml:space="preserve">increase </w:t>
      </w:r>
      <w:r w:rsidR="00B11E1A" w:rsidRPr="001B269F">
        <w:rPr>
          <w:rFonts w:asciiTheme="majorHAnsi" w:hAnsiTheme="majorHAnsi" w:cstheme="majorHAnsi"/>
          <w:sz w:val="24"/>
          <w:szCs w:val="24"/>
        </w:rPr>
        <w:t>dramatically due t</w:t>
      </w:r>
      <w:r w:rsidR="00B353B9" w:rsidRPr="001B269F">
        <w:rPr>
          <w:rFonts w:asciiTheme="majorHAnsi" w:hAnsiTheme="majorHAnsi" w:cstheme="majorHAnsi"/>
          <w:sz w:val="24"/>
          <w:szCs w:val="24"/>
        </w:rPr>
        <w:t>o</w:t>
      </w:r>
      <w:r w:rsidR="00B11E1A" w:rsidRPr="001B269F">
        <w:rPr>
          <w:rFonts w:asciiTheme="majorHAnsi" w:hAnsiTheme="majorHAnsi" w:cstheme="majorHAnsi"/>
          <w:sz w:val="24"/>
          <w:szCs w:val="24"/>
        </w:rPr>
        <w:t xml:space="preserve"> the impact</w:t>
      </w:r>
      <w:r w:rsidR="00516F05" w:rsidRPr="001B269F">
        <w:rPr>
          <w:rFonts w:asciiTheme="majorHAnsi" w:hAnsiTheme="majorHAnsi" w:cstheme="majorHAnsi"/>
          <w:sz w:val="24"/>
          <w:szCs w:val="24"/>
        </w:rPr>
        <w:t xml:space="preserve"> of</w:t>
      </w:r>
      <w:r w:rsidR="00B11E1A" w:rsidRPr="001B269F">
        <w:rPr>
          <w:rFonts w:asciiTheme="majorHAnsi" w:hAnsiTheme="majorHAnsi" w:cstheme="majorHAnsi"/>
          <w:sz w:val="24"/>
          <w:szCs w:val="24"/>
        </w:rPr>
        <w:t xml:space="preserve"> near record low storage levels in North America </w:t>
      </w:r>
      <w:r w:rsidR="00B353B9" w:rsidRPr="001B269F">
        <w:rPr>
          <w:rFonts w:asciiTheme="majorHAnsi" w:hAnsiTheme="majorHAnsi" w:cstheme="majorHAnsi"/>
          <w:sz w:val="24"/>
          <w:szCs w:val="24"/>
        </w:rPr>
        <w:t>exasperated by the current</w:t>
      </w:r>
      <w:r w:rsidR="00B6686E" w:rsidRPr="001B269F">
        <w:rPr>
          <w:rFonts w:asciiTheme="majorHAnsi" w:hAnsiTheme="majorHAnsi" w:cstheme="majorHAnsi"/>
          <w:sz w:val="24"/>
          <w:szCs w:val="24"/>
        </w:rPr>
        <w:t xml:space="preserve"> situation</w:t>
      </w:r>
      <w:r w:rsidR="00B11E1A" w:rsidRPr="001B269F">
        <w:rPr>
          <w:rFonts w:asciiTheme="majorHAnsi" w:hAnsiTheme="majorHAnsi" w:cstheme="majorHAnsi"/>
          <w:sz w:val="24"/>
          <w:szCs w:val="24"/>
        </w:rPr>
        <w:t xml:space="preserve"> in Europe.  As a result</w:t>
      </w:r>
      <w:r w:rsidR="00B6686E" w:rsidRPr="001B269F">
        <w:rPr>
          <w:rFonts w:asciiTheme="majorHAnsi" w:hAnsiTheme="majorHAnsi" w:cstheme="majorHAnsi"/>
          <w:sz w:val="24"/>
          <w:szCs w:val="24"/>
        </w:rPr>
        <w:t>,</w:t>
      </w:r>
      <w:r w:rsidR="00B11E1A" w:rsidRPr="001B269F">
        <w:rPr>
          <w:rFonts w:asciiTheme="majorHAnsi" w:hAnsiTheme="majorHAnsi" w:cstheme="majorHAnsi"/>
          <w:sz w:val="24"/>
          <w:szCs w:val="24"/>
        </w:rPr>
        <w:t xml:space="preserve"> pricing is almost triple last years unit cost and uncertainty remains for both the </w:t>
      </w:r>
      <w:r w:rsidR="00B6686E" w:rsidRPr="001B269F">
        <w:rPr>
          <w:rFonts w:asciiTheme="majorHAnsi" w:hAnsiTheme="majorHAnsi" w:cstheme="majorHAnsi"/>
          <w:sz w:val="24"/>
          <w:szCs w:val="24"/>
        </w:rPr>
        <w:t>short- and long-term</w:t>
      </w:r>
      <w:r w:rsidR="00B11E1A" w:rsidRPr="001B269F">
        <w:rPr>
          <w:rFonts w:asciiTheme="majorHAnsi" w:hAnsiTheme="majorHAnsi" w:cstheme="majorHAnsi"/>
          <w:sz w:val="24"/>
          <w:szCs w:val="24"/>
        </w:rPr>
        <w:t xml:space="preserve"> forecasts. The market is being closely monitored and we are working with an energy consultant to ensure effective purchasing of natural ga</w:t>
      </w:r>
      <w:r w:rsidR="00635CFD" w:rsidRPr="001B269F">
        <w:rPr>
          <w:rFonts w:asciiTheme="majorHAnsi" w:hAnsiTheme="majorHAnsi" w:cstheme="majorHAnsi"/>
          <w:sz w:val="24"/>
          <w:szCs w:val="24"/>
        </w:rPr>
        <w:t>s.</w:t>
      </w:r>
    </w:p>
    <w:p w14:paraId="28A5EBFA" w14:textId="188B5392" w:rsidR="00F90166" w:rsidRPr="001B269F" w:rsidRDefault="00F90166" w:rsidP="00F90166">
      <w:pPr>
        <w:pStyle w:val="NoSpacing"/>
        <w:rPr>
          <w:rFonts w:asciiTheme="majorHAnsi" w:hAnsiTheme="majorHAnsi" w:cstheme="majorHAnsi"/>
          <w:sz w:val="24"/>
          <w:szCs w:val="24"/>
        </w:rPr>
      </w:pPr>
      <w:r w:rsidRPr="001B269F">
        <w:rPr>
          <w:rFonts w:asciiTheme="majorHAnsi" w:hAnsiTheme="majorHAnsi" w:cstheme="majorHAnsi"/>
          <w:sz w:val="24"/>
          <w:szCs w:val="24"/>
        </w:rPr>
        <w:t xml:space="preserve">The increase in wages in the School Operations section represents the new position of a Health and Safety </w:t>
      </w:r>
      <w:r w:rsidR="00EC601C">
        <w:rPr>
          <w:rFonts w:asciiTheme="majorHAnsi" w:hAnsiTheme="majorHAnsi" w:cstheme="majorHAnsi"/>
          <w:sz w:val="24"/>
          <w:szCs w:val="24"/>
        </w:rPr>
        <w:t>position</w:t>
      </w:r>
      <w:r w:rsidRPr="001B269F">
        <w:rPr>
          <w:rFonts w:asciiTheme="majorHAnsi" w:hAnsiTheme="majorHAnsi" w:cstheme="majorHAnsi"/>
          <w:sz w:val="24"/>
          <w:szCs w:val="24"/>
        </w:rPr>
        <w:t>.</w:t>
      </w:r>
    </w:p>
    <w:p w14:paraId="577A5827" w14:textId="0864363B" w:rsidR="00F23DB4" w:rsidRPr="003F1A42" w:rsidRDefault="00F60EFC" w:rsidP="00143760">
      <w:pPr>
        <w:pStyle w:val="NoSpacing"/>
        <w:rPr>
          <w:rFonts w:asciiTheme="majorHAnsi" w:hAnsiTheme="majorHAnsi" w:cstheme="majorHAnsi"/>
          <w:sz w:val="24"/>
          <w:szCs w:val="24"/>
          <w:lang w:val="en-US"/>
        </w:rPr>
      </w:pPr>
      <w:r w:rsidRPr="003F1A42">
        <w:rPr>
          <w:rFonts w:asciiTheme="majorHAnsi" w:hAnsiTheme="majorHAnsi" w:cstheme="majorHAnsi"/>
          <w:sz w:val="24"/>
          <w:szCs w:val="24"/>
          <w:lang w:val="en-US"/>
        </w:rPr>
        <w:fldChar w:fldCharType="begin"/>
      </w:r>
      <w:r w:rsidRPr="003F1A42">
        <w:rPr>
          <w:rFonts w:asciiTheme="majorHAnsi" w:hAnsiTheme="majorHAnsi" w:cstheme="majorHAnsi"/>
          <w:sz w:val="24"/>
          <w:szCs w:val="24"/>
          <w:lang w:val="en-US"/>
        </w:rPr>
        <w:instrText xml:space="preserve"> LINK </w:instrText>
      </w:r>
      <w:r w:rsidR="0075004D" w:rsidRPr="003F1A42">
        <w:rPr>
          <w:rFonts w:asciiTheme="majorHAnsi" w:hAnsiTheme="majorHAnsi" w:cstheme="majorHAnsi"/>
          <w:sz w:val="24"/>
          <w:szCs w:val="24"/>
          <w:lang w:val="en-US"/>
        </w:rPr>
        <w:instrText xml:space="preserve">Excel.Sheet.12 "C:\\Users\\corallc\\Reports\\Budget Estimates\\2019 2020\\Facilities Schedule 10_6.xlsx" "Schedule 10C1!R7C1:R35C8" </w:instrText>
      </w:r>
      <w:r w:rsidRPr="003F1A42">
        <w:rPr>
          <w:rFonts w:asciiTheme="majorHAnsi" w:hAnsiTheme="majorHAnsi" w:cstheme="majorHAnsi"/>
          <w:sz w:val="24"/>
          <w:szCs w:val="24"/>
          <w:lang w:val="en-US"/>
        </w:rPr>
        <w:instrText xml:space="preserve">\a \f 4 \h </w:instrText>
      </w:r>
      <w:r w:rsidR="00B66610" w:rsidRPr="003F1A42">
        <w:rPr>
          <w:rFonts w:asciiTheme="majorHAnsi" w:hAnsiTheme="majorHAnsi" w:cstheme="majorHAnsi"/>
          <w:sz w:val="24"/>
          <w:szCs w:val="24"/>
          <w:lang w:val="en-US"/>
        </w:rPr>
        <w:instrText xml:space="preserve"> \* MERGEFORMAT </w:instrText>
      </w:r>
      <w:r w:rsidRPr="003F1A42">
        <w:rPr>
          <w:rFonts w:asciiTheme="majorHAnsi" w:hAnsiTheme="majorHAnsi" w:cstheme="majorHAnsi"/>
          <w:sz w:val="24"/>
          <w:szCs w:val="24"/>
          <w:lang w:val="en-US"/>
        </w:rPr>
        <w:fldChar w:fldCharType="separate"/>
      </w:r>
    </w:p>
    <w:p w14:paraId="5D58CEF8" w14:textId="65620F46" w:rsidR="007F7BA4" w:rsidRPr="003F1A42" w:rsidRDefault="00F60EFC" w:rsidP="00F60EFC">
      <w:pPr>
        <w:pStyle w:val="NoSpacing"/>
        <w:rPr>
          <w:rFonts w:asciiTheme="majorHAnsi" w:hAnsiTheme="majorHAnsi" w:cstheme="majorHAnsi"/>
          <w:sz w:val="24"/>
          <w:szCs w:val="24"/>
          <w:u w:val="single"/>
          <w:lang w:val="en-US"/>
        </w:rPr>
      </w:pPr>
      <w:r w:rsidRPr="003F1A42">
        <w:rPr>
          <w:rFonts w:asciiTheme="majorHAnsi" w:hAnsiTheme="majorHAnsi" w:cstheme="majorHAnsi"/>
          <w:sz w:val="24"/>
          <w:szCs w:val="24"/>
          <w:highlight w:val="yellow"/>
          <w:lang w:val="en-US"/>
        </w:rPr>
        <w:fldChar w:fldCharType="end"/>
      </w:r>
      <w:r w:rsidR="007F7BA4" w:rsidRPr="00676D63">
        <w:rPr>
          <w:rFonts w:asciiTheme="majorHAnsi" w:hAnsiTheme="majorHAnsi" w:cstheme="majorHAnsi"/>
          <w:b/>
          <w:bCs/>
          <w:sz w:val="24"/>
          <w:szCs w:val="24"/>
          <w:u w:val="single"/>
          <w:lang w:val="en-US"/>
        </w:rPr>
        <w:t xml:space="preserve">Note </w:t>
      </w:r>
      <w:r w:rsidR="0027191B" w:rsidRPr="00676D63">
        <w:rPr>
          <w:rFonts w:asciiTheme="majorHAnsi" w:hAnsiTheme="majorHAnsi" w:cstheme="majorHAnsi"/>
          <w:b/>
          <w:bCs/>
          <w:sz w:val="24"/>
          <w:szCs w:val="24"/>
          <w:u w:val="single"/>
          <w:lang w:val="en-US"/>
        </w:rPr>
        <w:t>9</w:t>
      </w:r>
      <w:r w:rsidR="007F7BA4" w:rsidRPr="003F1A42">
        <w:rPr>
          <w:rFonts w:asciiTheme="majorHAnsi" w:hAnsiTheme="majorHAnsi" w:cstheme="majorHAnsi"/>
          <w:sz w:val="24"/>
          <w:szCs w:val="24"/>
          <w:u w:val="single"/>
          <w:lang w:val="en-US"/>
        </w:rPr>
        <w:t xml:space="preserve">: Other Pupil </w:t>
      </w:r>
      <w:r w:rsidR="00123DE8" w:rsidRPr="003F1A42">
        <w:rPr>
          <w:rFonts w:asciiTheme="majorHAnsi" w:hAnsiTheme="majorHAnsi" w:cstheme="majorHAnsi"/>
          <w:sz w:val="24"/>
          <w:szCs w:val="24"/>
          <w:u w:val="single"/>
          <w:lang w:val="en-US"/>
        </w:rPr>
        <w:t>Accommodation</w:t>
      </w:r>
    </w:p>
    <w:p w14:paraId="23B80FAA" w14:textId="4B36D199" w:rsidR="007F7BA4" w:rsidRPr="003F1A42" w:rsidRDefault="007F7BA4" w:rsidP="007F7BA4">
      <w:pPr>
        <w:pStyle w:val="NoSpacing"/>
        <w:rPr>
          <w:rFonts w:asciiTheme="majorHAnsi" w:hAnsiTheme="majorHAnsi" w:cstheme="majorHAnsi"/>
          <w:sz w:val="24"/>
          <w:szCs w:val="24"/>
        </w:rPr>
      </w:pPr>
      <w:r w:rsidRPr="003F1A42">
        <w:rPr>
          <w:rFonts w:asciiTheme="majorHAnsi" w:hAnsiTheme="majorHAnsi" w:cstheme="majorHAnsi"/>
          <w:sz w:val="24"/>
          <w:szCs w:val="24"/>
        </w:rPr>
        <w:t>This is the interest expense for two separate ‘loans’.  </w:t>
      </w:r>
      <w:r w:rsidR="00680DD2" w:rsidRPr="003F1A42">
        <w:rPr>
          <w:rFonts w:asciiTheme="majorHAnsi" w:hAnsiTheme="majorHAnsi" w:cstheme="majorHAnsi"/>
          <w:sz w:val="24"/>
          <w:szCs w:val="24"/>
        </w:rPr>
        <w:t>In 2003, the government undertook a review that made it clear that the state of Ontario’s school buildings was getting in the way of the instruction being taught within them. The</w:t>
      </w:r>
      <w:r w:rsidR="00AD1C55" w:rsidRPr="003F1A42">
        <w:rPr>
          <w:rFonts w:asciiTheme="majorHAnsi" w:hAnsiTheme="majorHAnsi" w:cstheme="majorHAnsi"/>
          <w:sz w:val="24"/>
          <w:szCs w:val="24"/>
        </w:rPr>
        <w:t xml:space="preserve"> action plan to this was ‘Good P</w:t>
      </w:r>
      <w:r w:rsidR="00680DD2" w:rsidRPr="003F1A42">
        <w:rPr>
          <w:rFonts w:asciiTheme="majorHAnsi" w:hAnsiTheme="majorHAnsi" w:cstheme="majorHAnsi"/>
          <w:sz w:val="24"/>
          <w:szCs w:val="24"/>
        </w:rPr>
        <w:t>laces to L</w:t>
      </w:r>
      <w:r w:rsidRPr="003F1A42">
        <w:rPr>
          <w:rFonts w:asciiTheme="majorHAnsi" w:hAnsiTheme="majorHAnsi" w:cstheme="majorHAnsi"/>
          <w:sz w:val="24"/>
          <w:szCs w:val="24"/>
        </w:rPr>
        <w:t>earn</w:t>
      </w:r>
      <w:r w:rsidR="00680DD2" w:rsidRPr="003F1A42">
        <w:rPr>
          <w:rFonts w:asciiTheme="majorHAnsi" w:hAnsiTheme="majorHAnsi" w:cstheme="majorHAnsi"/>
          <w:sz w:val="24"/>
          <w:szCs w:val="24"/>
        </w:rPr>
        <w:t>’</w:t>
      </w:r>
      <w:r w:rsidRPr="003F1A42">
        <w:rPr>
          <w:rFonts w:asciiTheme="majorHAnsi" w:hAnsiTheme="majorHAnsi" w:cstheme="majorHAnsi"/>
          <w:sz w:val="24"/>
          <w:szCs w:val="24"/>
        </w:rPr>
        <w:t xml:space="preserve"> whereb</w:t>
      </w:r>
      <w:r w:rsidR="00680DD2" w:rsidRPr="003F1A42">
        <w:rPr>
          <w:rFonts w:asciiTheme="majorHAnsi" w:hAnsiTheme="majorHAnsi" w:cstheme="majorHAnsi"/>
          <w:sz w:val="24"/>
          <w:szCs w:val="24"/>
        </w:rPr>
        <w:t xml:space="preserve">y the government committed to supporting the financing of these projects </w:t>
      </w:r>
      <w:r w:rsidR="00AD1C55" w:rsidRPr="003F1A42">
        <w:rPr>
          <w:rFonts w:asciiTheme="majorHAnsi" w:hAnsiTheme="majorHAnsi" w:cstheme="majorHAnsi"/>
          <w:sz w:val="24"/>
          <w:szCs w:val="24"/>
        </w:rPr>
        <w:t xml:space="preserve">for a period of 18 months </w:t>
      </w:r>
      <w:r w:rsidR="00680DD2" w:rsidRPr="003F1A42">
        <w:rPr>
          <w:rFonts w:asciiTheme="majorHAnsi" w:hAnsiTheme="majorHAnsi" w:cstheme="majorHAnsi"/>
          <w:sz w:val="24"/>
          <w:szCs w:val="24"/>
        </w:rPr>
        <w:t xml:space="preserve">and would reimburse boards who invested at the time the loans payments were due, both principal and interest.  </w:t>
      </w:r>
      <w:r w:rsidRPr="003F1A42">
        <w:rPr>
          <w:rFonts w:asciiTheme="majorHAnsi" w:hAnsiTheme="majorHAnsi" w:cstheme="majorHAnsi"/>
          <w:sz w:val="24"/>
          <w:szCs w:val="24"/>
        </w:rPr>
        <w:t xml:space="preserve"> </w:t>
      </w:r>
      <w:r w:rsidR="00680DD2" w:rsidRPr="003F1A42">
        <w:rPr>
          <w:rFonts w:asciiTheme="majorHAnsi" w:hAnsiTheme="majorHAnsi" w:cstheme="majorHAnsi"/>
          <w:sz w:val="24"/>
          <w:szCs w:val="24"/>
        </w:rPr>
        <w:t xml:space="preserve">This was the same case for a </w:t>
      </w:r>
      <w:r w:rsidRPr="003F1A42">
        <w:rPr>
          <w:rFonts w:asciiTheme="majorHAnsi" w:hAnsiTheme="majorHAnsi" w:cstheme="majorHAnsi"/>
          <w:sz w:val="24"/>
          <w:szCs w:val="24"/>
        </w:rPr>
        <w:t>debenture loan</w:t>
      </w:r>
      <w:r w:rsidR="00680DD2" w:rsidRPr="003F1A42">
        <w:rPr>
          <w:rFonts w:asciiTheme="majorHAnsi" w:hAnsiTheme="majorHAnsi" w:cstheme="majorHAnsi"/>
          <w:sz w:val="24"/>
          <w:szCs w:val="24"/>
        </w:rPr>
        <w:t xml:space="preserve"> that was entered into by the board</w:t>
      </w:r>
      <w:r w:rsidRPr="003F1A42">
        <w:rPr>
          <w:rFonts w:asciiTheme="majorHAnsi" w:hAnsiTheme="majorHAnsi" w:cstheme="majorHAnsi"/>
          <w:sz w:val="24"/>
          <w:szCs w:val="24"/>
        </w:rPr>
        <w:t>.  The debenture was</w:t>
      </w:r>
      <w:r w:rsidR="00680DD2" w:rsidRPr="003F1A42">
        <w:rPr>
          <w:rFonts w:asciiTheme="majorHAnsi" w:hAnsiTheme="majorHAnsi" w:cstheme="majorHAnsi"/>
          <w:sz w:val="24"/>
          <w:szCs w:val="24"/>
        </w:rPr>
        <w:t xml:space="preserve"> to invest in the purchase and upgrade of Bishop Alexander Carter</w:t>
      </w:r>
      <w:r w:rsidRPr="003F1A42">
        <w:rPr>
          <w:rFonts w:asciiTheme="majorHAnsi" w:hAnsiTheme="majorHAnsi" w:cstheme="majorHAnsi"/>
          <w:sz w:val="24"/>
          <w:szCs w:val="24"/>
        </w:rPr>
        <w:t xml:space="preserve"> </w:t>
      </w:r>
      <w:r w:rsidR="00680DD2" w:rsidRPr="003F1A42">
        <w:rPr>
          <w:rFonts w:asciiTheme="majorHAnsi" w:hAnsiTheme="majorHAnsi" w:cstheme="majorHAnsi"/>
          <w:sz w:val="24"/>
          <w:szCs w:val="24"/>
        </w:rPr>
        <w:t>(</w:t>
      </w:r>
      <w:r w:rsidRPr="003F1A42">
        <w:rPr>
          <w:rFonts w:asciiTheme="majorHAnsi" w:hAnsiTheme="majorHAnsi" w:cstheme="majorHAnsi"/>
          <w:sz w:val="24"/>
          <w:szCs w:val="24"/>
        </w:rPr>
        <w:t>BAC</w:t>
      </w:r>
      <w:r w:rsidR="00680DD2" w:rsidRPr="003F1A42">
        <w:rPr>
          <w:rFonts w:asciiTheme="majorHAnsi" w:hAnsiTheme="majorHAnsi" w:cstheme="majorHAnsi"/>
          <w:sz w:val="24"/>
          <w:szCs w:val="24"/>
        </w:rPr>
        <w:t>)</w:t>
      </w:r>
      <w:r w:rsidRPr="003F1A42">
        <w:rPr>
          <w:rFonts w:asciiTheme="majorHAnsi" w:hAnsiTheme="majorHAnsi" w:cstheme="majorHAnsi"/>
          <w:sz w:val="24"/>
          <w:szCs w:val="24"/>
        </w:rPr>
        <w:t xml:space="preserve">. </w:t>
      </w:r>
      <w:r w:rsidR="00680DD2" w:rsidRPr="003F1A42">
        <w:rPr>
          <w:rFonts w:asciiTheme="majorHAnsi" w:hAnsiTheme="majorHAnsi" w:cstheme="majorHAnsi"/>
          <w:sz w:val="24"/>
          <w:szCs w:val="24"/>
        </w:rPr>
        <w:t xml:space="preserve"> Again</w:t>
      </w:r>
      <w:r w:rsidR="00313B0D" w:rsidRPr="003F1A42">
        <w:rPr>
          <w:rFonts w:asciiTheme="majorHAnsi" w:hAnsiTheme="majorHAnsi" w:cstheme="majorHAnsi"/>
          <w:sz w:val="24"/>
          <w:szCs w:val="24"/>
        </w:rPr>
        <w:t>,</w:t>
      </w:r>
      <w:r w:rsidR="00680DD2" w:rsidRPr="003F1A42">
        <w:rPr>
          <w:rFonts w:asciiTheme="majorHAnsi" w:hAnsiTheme="majorHAnsi" w:cstheme="majorHAnsi"/>
          <w:sz w:val="24"/>
          <w:szCs w:val="24"/>
        </w:rPr>
        <w:t xml:space="preserve"> this was completely funded by the government, both</w:t>
      </w:r>
      <w:r w:rsidRPr="003F1A42">
        <w:rPr>
          <w:rFonts w:asciiTheme="majorHAnsi" w:hAnsiTheme="majorHAnsi" w:cstheme="majorHAnsi"/>
          <w:sz w:val="24"/>
          <w:szCs w:val="24"/>
        </w:rPr>
        <w:t xml:space="preserve"> the principal and interest. </w:t>
      </w:r>
    </w:p>
    <w:p w14:paraId="1FB30B04" w14:textId="4F20C55C" w:rsidR="007F7BA4" w:rsidRDefault="007F7BA4" w:rsidP="00F60EFC">
      <w:pPr>
        <w:pStyle w:val="NoSpacing"/>
        <w:rPr>
          <w:rFonts w:asciiTheme="majorHAnsi" w:hAnsiTheme="majorHAnsi" w:cstheme="majorHAnsi"/>
        </w:rPr>
      </w:pPr>
    </w:p>
    <w:p w14:paraId="37404858" w14:textId="6EF86941" w:rsidR="00E3414D" w:rsidRPr="003F1A42" w:rsidRDefault="00E3414D" w:rsidP="00F60EFC">
      <w:pPr>
        <w:pStyle w:val="NoSpacing"/>
        <w:rPr>
          <w:rFonts w:asciiTheme="majorHAnsi" w:hAnsiTheme="majorHAnsi" w:cstheme="majorHAnsi"/>
          <w:sz w:val="24"/>
          <w:szCs w:val="24"/>
          <w:u w:val="single"/>
        </w:rPr>
      </w:pPr>
      <w:bookmarkStart w:id="18" w:name="_Hlk104453236"/>
      <w:r w:rsidRPr="00676D63">
        <w:rPr>
          <w:rFonts w:asciiTheme="majorHAnsi" w:hAnsiTheme="majorHAnsi" w:cstheme="majorHAnsi"/>
          <w:b/>
          <w:bCs/>
          <w:sz w:val="24"/>
          <w:szCs w:val="24"/>
          <w:u w:val="single"/>
        </w:rPr>
        <w:t>Note 1</w:t>
      </w:r>
      <w:r w:rsidR="006971D1" w:rsidRPr="00676D63">
        <w:rPr>
          <w:rFonts w:asciiTheme="majorHAnsi" w:hAnsiTheme="majorHAnsi" w:cstheme="majorHAnsi"/>
          <w:b/>
          <w:bCs/>
          <w:sz w:val="24"/>
          <w:szCs w:val="24"/>
          <w:u w:val="single"/>
        </w:rPr>
        <w:t>0</w:t>
      </w:r>
      <w:r w:rsidRPr="003F1A42">
        <w:rPr>
          <w:rFonts w:asciiTheme="majorHAnsi" w:hAnsiTheme="majorHAnsi" w:cstheme="majorHAnsi"/>
          <w:sz w:val="24"/>
          <w:szCs w:val="24"/>
          <w:u w:val="single"/>
        </w:rPr>
        <w:t>:</w:t>
      </w:r>
      <w:r w:rsidR="00247E8D" w:rsidRPr="003F1A42">
        <w:rPr>
          <w:rFonts w:asciiTheme="majorHAnsi" w:hAnsiTheme="majorHAnsi" w:cstheme="majorHAnsi"/>
          <w:sz w:val="24"/>
          <w:szCs w:val="24"/>
          <w:u w:val="single"/>
        </w:rPr>
        <w:t xml:space="preserve"> </w:t>
      </w:r>
      <w:r w:rsidR="006971D1">
        <w:rPr>
          <w:rFonts w:asciiTheme="majorHAnsi" w:hAnsiTheme="majorHAnsi" w:cstheme="majorHAnsi"/>
          <w:sz w:val="24"/>
          <w:szCs w:val="24"/>
          <w:u w:val="single"/>
        </w:rPr>
        <w:t>School Generated Funds</w:t>
      </w:r>
    </w:p>
    <w:p w14:paraId="4E11BA87" w14:textId="42A8F6B3" w:rsidR="00282FA0" w:rsidRDefault="003925E3" w:rsidP="00F60EFC">
      <w:pPr>
        <w:pStyle w:val="NoSpacing"/>
        <w:rPr>
          <w:rFonts w:asciiTheme="majorHAnsi" w:hAnsiTheme="majorHAnsi" w:cstheme="majorHAnsi"/>
          <w:sz w:val="24"/>
          <w:szCs w:val="24"/>
        </w:rPr>
      </w:pPr>
      <w:r>
        <w:rPr>
          <w:rFonts w:asciiTheme="majorHAnsi" w:hAnsiTheme="majorHAnsi" w:cstheme="majorHAnsi"/>
          <w:sz w:val="24"/>
          <w:szCs w:val="24"/>
        </w:rPr>
        <w:t xml:space="preserve">Spending from school generated funds decreased significantly over the past couple of years due to the inabilities of schools to participate in activities with the impact of COVID-19.  </w:t>
      </w:r>
      <w:r w:rsidR="00EA1416">
        <w:rPr>
          <w:rFonts w:asciiTheme="majorHAnsi" w:hAnsiTheme="majorHAnsi" w:cstheme="majorHAnsi"/>
          <w:sz w:val="24"/>
          <w:szCs w:val="24"/>
        </w:rPr>
        <w:t>It is expected that during the 2022-23 school year activities will return to more normal levels so in anticipation of this the budget has been increased back to pre-pandemic levels.</w:t>
      </w:r>
    </w:p>
    <w:p w14:paraId="670D1188" w14:textId="6A0A1F85" w:rsidR="006C05EC" w:rsidRDefault="006C05EC" w:rsidP="00F60EFC">
      <w:pPr>
        <w:pStyle w:val="NoSpacing"/>
        <w:rPr>
          <w:rFonts w:asciiTheme="majorHAnsi" w:hAnsiTheme="majorHAnsi" w:cstheme="majorHAnsi"/>
          <w:sz w:val="24"/>
          <w:szCs w:val="24"/>
        </w:rPr>
      </w:pPr>
    </w:p>
    <w:p w14:paraId="70B053DC" w14:textId="3553BC6E" w:rsidR="006C05EC" w:rsidRPr="003F1A42" w:rsidRDefault="006C05EC" w:rsidP="006C05EC">
      <w:pPr>
        <w:pStyle w:val="NoSpacing"/>
        <w:rPr>
          <w:rFonts w:asciiTheme="majorHAnsi" w:hAnsiTheme="majorHAnsi" w:cstheme="majorHAnsi"/>
          <w:sz w:val="24"/>
          <w:szCs w:val="24"/>
          <w:u w:val="single"/>
        </w:rPr>
      </w:pPr>
      <w:r w:rsidRPr="00676D63">
        <w:rPr>
          <w:rFonts w:asciiTheme="majorHAnsi" w:hAnsiTheme="majorHAnsi" w:cstheme="majorHAnsi"/>
          <w:b/>
          <w:bCs/>
          <w:sz w:val="24"/>
          <w:szCs w:val="24"/>
          <w:u w:val="single"/>
        </w:rPr>
        <w:t>Note 11</w:t>
      </w:r>
      <w:r w:rsidRPr="003F1A42">
        <w:rPr>
          <w:rFonts w:asciiTheme="majorHAnsi" w:hAnsiTheme="majorHAnsi" w:cstheme="majorHAnsi"/>
          <w:sz w:val="24"/>
          <w:szCs w:val="24"/>
          <w:u w:val="single"/>
        </w:rPr>
        <w:t xml:space="preserve">: </w:t>
      </w:r>
      <w:r w:rsidR="00F47E99">
        <w:rPr>
          <w:rFonts w:asciiTheme="majorHAnsi" w:hAnsiTheme="majorHAnsi" w:cstheme="majorHAnsi"/>
          <w:sz w:val="24"/>
          <w:szCs w:val="24"/>
          <w:u w:val="single"/>
        </w:rPr>
        <w:t>Other Non-operating Expenses</w:t>
      </w:r>
    </w:p>
    <w:p w14:paraId="378E09D8" w14:textId="5BF8ADD7" w:rsidR="006C05EC" w:rsidRPr="003F1A42" w:rsidRDefault="00F927D3" w:rsidP="006C05EC">
      <w:pPr>
        <w:pStyle w:val="NoSpacing"/>
        <w:rPr>
          <w:rFonts w:asciiTheme="majorHAnsi" w:hAnsiTheme="majorHAnsi" w:cstheme="majorHAnsi"/>
          <w:sz w:val="24"/>
          <w:szCs w:val="24"/>
        </w:rPr>
      </w:pPr>
      <w:r>
        <w:rPr>
          <w:rFonts w:asciiTheme="majorHAnsi" w:hAnsiTheme="majorHAnsi" w:cstheme="majorHAnsi"/>
          <w:sz w:val="24"/>
          <w:szCs w:val="24"/>
        </w:rPr>
        <w:t>In 2021-22 s</w:t>
      </w:r>
      <w:r w:rsidR="006C05EC">
        <w:rPr>
          <w:rFonts w:asciiTheme="majorHAnsi" w:hAnsiTheme="majorHAnsi" w:cstheme="majorHAnsi"/>
          <w:sz w:val="24"/>
          <w:szCs w:val="24"/>
        </w:rPr>
        <w:t>p</w:t>
      </w:r>
      <w:r w:rsidR="00531115">
        <w:rPr>
          <w:rFonts w:asciiTheme="majorHAnsi" w:hAnsiTheme="majorHAnsi" w:cstheme="majorHAnsi"/>
          <w:sz w:val="24"/>
          <w:szCs w:val="24"/>
        </w:rPr>
        <w:t>ending on this line</w:t>
      </w:r>
      <w:r>
        <w:rPr>
          <w:rFonts w:asciiTheme="majorHAnsi" w:hAnsiTheme="majorHAnsi" w:cstheme="majorHAnsi"/>
          <w:sz w:val="24"/>
          <w:szCs w:val="24"/>
        </w:rPr>
        <w:t xml:space="preserve"> include</w:t>
      </w:r>
      <w:r w:rsidR="00D70F65">
        <w:rPr>
          <w:rFonts w:asciiTheme="majorHAnsi" w:hAnsiTheme="majorHAnsi" w:cstheme="majorHAnsi"/>
          <w:sz w:val="24"/>
          <w:szCs w:val="24"/>
        </w:rPr>
        <w:t>d</w:t>
      </w:r>
      <w:r w:rsidR="00097238">
        <w:rPr>
          <w:rFonts w:asciiTheme="majorHAnsi" w:hAnsiTheme="majorHAnsi" w:cstheme="majorHAnsi"/>
          <w:sz w:val="24"/>
          <w:szCs w:val="24"/>
        </w:rPr>
        <w:t xml:space="preserve"> retiree gratuities and benefits.  The 2022-23 budget reflects projected expenses for this as well as </w:t>
      </w:r>
      <w:r w:rsidR="00221549">
        <w:rPr>
          <w:rFonts w:asciiTheme="majorHAnsi" w:hAnsiTheme="majorHAnsi" w:cstheme="majorHAnsi"/>
          <w:sz w:val="24"/>
          <w:szCs w:val="24"/>
        </w:rPr>
        <w:t>almost $240K for PPE</w:t>
      </w:r>
      <w:r w:rsidR="006749E4">
        <w:rPr>
          <w:rFonts w:asciiTheme="majorHAnsi" w:hAnsiTheme="majorHAnsi" w:cstheme="majorHAnsi"/>
          <w:sz w:val="24"/>
          <w:szCs w:val="24"/>
        </w:rPr>
        <w:t xml:space="preserve"> procured through MGCS (Ministry of Government and Consumer Services)</w:t>
      </w:r>
      <w:r w:rsidR="0094533D">
        <w:rPr>
          <w:rFonts w:asciiTheme="majorHAnsi" w:hAnsiTheme="majorHAnsi" w:cstheme="majorHAnsi"/>
          <w:sz w:val="24"/>
          <w:szCs w:val="24"/>
        </w:rPr>
        <w:t xml:space="preserve"> for which the corresponding revenues have also been included in the budget.</w:t>
      </w:r>
    </w:p>
    <w:bookmarkEnd w:id="18"/>
    <w:p w14:paraId="7EFEBE0B" w14:textId="77777777" w:rsidR="006971D1" w:rsidRDefault="006971D1" w:rsidP="00635C08">
      <w:pPr>
        <w:pStyle w:val="NoSpacing"/>
        <w:rPr>
          <w:lang w:val="en-US"/>
        </w:rPr>
      </w:pPr>
    </w:p>
    <w:p w14:paraId="7D871FD7" w14:textId="4AFC18B5" w:rsidR="006971D1" w:rsidRPr="003F1A42" w:rsidRDefault="006971D1" w:rsidP="006971D1">
      <w:pPr>
        <w:pStyle w:val="NoSpacing"/>
        <w:rPr>
          <w:rFonts w:asciiTheme="majorHAnsi" w:hAnsiTheme="majorHAnsi" w:cstheme="majorHAnsi"/>
          <w:sz w:val="24"/>
          <w:szCs w:val="24"/>
          <w:u w:val="single"/>
        </w:rPr>
      </w:pPr>
      <w:r w:rsidRPr="00676D63">
        <w:rPr>
          <w:rFonts w:asciiTheme="majorHAnsi" w:hAnsiTheme="majorHAnsi" w:cstheme="majorHAnsi"/>
          <w:b/>
          <w:bCs/>
          <w:sz w:val="24"/>
          <w:szCs w:val="24"/>
          <w:u w:val="single"/>
        </w:rPr>
        <w:t>Note 1</w:t>
      </w:r>
      <w:r w:rsidR="006C05EC" w:rsidRPr="00676D63">
        <w:rPr>
          <w:rFonts w:asciiTheme="majorHAnsi" w:hAnsiTheme="majorHAnsi" w:cstheme="majorHAnsi"/>
          <w:b/>
          <w:bCs/>
          <w:sz w:val="24"/>
          <w:szCs w:val="24"/>
          <w:u w:val="single"/>
        </w:rPr>
        <w:t>2</w:t>
      </w:r>
      <w:r w:rsidRPr="003F1A42">
        <w:rPr>
          <w:rFonts w:asciiTheme="majorHAnsi" w:hAnsiTheme="majorHAnsi" w:cstheme="majorHAnsi"/>
          <w:sz w:val="24"/>
          <w:szCs w:val="24"/>
          <w:u w:val="single"/>
        </w:rPr>
        <w:t>: Other Non-Operating Expenses</w:t>
      </w:r>
    </w:p>
    <w:p w14:paraId="43DD758A" w14:textId="5BBD3A8C" w:rsidR="006971D1" w:rsidRPr="003F1A42" w:rsidRDefault="006971D1" w:rsidP="006971D1">
      <w:pPr>
        <w:pStyle w:val="NoSpacing"/>
        <w:rPr>
          <w:rFonts w:asciiTheme="majorHAnsi" w:hAnsiTheme="majorHAnsi" w:cstheme="majorHAnsi"/>
          <w:sz w:val="24"/>
          <w:szCs w:val="24"/>
        </w:rPr>
      </w:pPr>
      <w:r w:rsidRPr="003F1A42">
        <w:rPr>
          <w:rFonts w:asciiTheme="majorHAnsi" w:hAnsiTheme="majorHAnsi" w:cstheme="majorHAnsi"/>
          <w:sz w:val="24"/>
          <w:szCs w:val="24"/>
        </w:rPr>
        <w:t xml:space="preserve">This budget line </w:t>
      </w:r>
      <w:r w:rsidR="00292165">
        <w:rPr>
          <w:rFonts w:asciiTheme="majorHAnsi" w:hAnsiTheme="majorHAnsi" w:cstheme="majorHAnsi"/>
          <w:sz w:val="24"/>
          <w:szCs w:val="24"/>
        </w:rPr>
        <w:t>shows a 1% increase</w:t>
      </w:r>
      <w:r w:rsidR="00A05B57">
        <w:rPr>
          <w:rFonts w:asciiTheme="majorHAnsi" w:hAnsiTheme="majorHAnsi" w:cstheme="majorHAnsi"/>
          <w:sz w:val="24"/>
          <w:szCs w:val="24"/>
        </w:rPr>
        <w:t xml:space="preserve"> to salaries as prescribed by the Ministry of Education.</w:t>
      </w:r>
    </w:p>
    <w:p w14:paraId="09B97C39" w14:textId="27A4F95A" w:rsidR="00CA5D6D" w:rsidRDefault="00CA5D6D" w:rsidP="00635C08">
      <w:pPr>
        <w:pStyle w:val="NoSpacing"/>
        <w:rPr>
          <w:rFonts w:asciiTheme="minorHAnsi" w:eastAsiaTheme="minorHAnsi" w:hAnsiTheme="minorHAnsi" w:cstheme="minorBidi"/>
        </w:rPr>
      </w:pPr>
      <w:r>
        <w:rPr>
          <w:lang w:val="en-US"/>
        </w:rPr>
        <w:fldChar w:fldCharType="begin"/>
      </w:r>
      <w:r>
        <w:rPr>
          <w:lang w:val="en-US"/>
        </w:rPr>
        <w:instrText xml:space="preserve"> LINK </w:instrText>
      </w:r>
      <w:r w:rsidR="0075004D">
        <w:rPr>
          <w:lang w:val="en-US"/>
        </w:rPr>
        <w:instrText xml:space="preserve">Excel.Sheet.12 "C:\\Users\\corallc\\Reports\\Budget Estimates\\2019 2020\\Minor Tangible Capital.xlsx" Sheet1!R4C1:R26C4 </w:instrText>
      </w:r>
      <w:r>
        <w:rPr>
          <w:lang w:val="en-US"/>
        </w:rPr>
        <w:instrText xml:space="preserve">\a \f 4 \h </w:instrText>
      </w:r>
      <w:r>
        <w:rPr>
          <w:lang w:val="en-US"/>
        </w:rPr>
        <w:fldChar w:fldCharType="separate"/>
      </w:r>
    </w:p>
    <w:p w14:paraId="3AB0987F" w14:textId="77777777" w:rsidR="00220112" w:rsidRDefault="00CA5D6D" w:rsidP="00635C08">
      <w:pPr>
        <w:pStyle w:val="NoSpacing"/>
        <w:rPr>
          <w:lang w:val="en-US"/>
        </w:rPr>
      </w:pPr>
      <w:r>
        <w:rPr>
          <w:lang w:val="en-US"/>
        </w:rPr>
        <w:fldChar w:fldCharType="end"/>
      </w:r>
    </w:p>
    <w:p w14:paraId="0D2F0774" w14:textId="77777777" w:rsidR="00220112" w:rsidRDefault="00220112" w:rsidP="00635C08">
      <w:pPr>
        <w:pStyle w:val="NoSpacing"/>
        <w:rPr>
          <w:lang w:val="en-US"/>
        </w:rPr>
      </w:pPr>
    </w:p>
    <w:p w14:paraId="70DACFFD" w14:textId="23D71435" w:rsidR="00F76EA2" w:rsidRDefault="00F76EA2" w:rsidP="00635C08">
      <w:pPr>
        <w:pStyle w:val="NoSpacing"/>
        <w:rPr>
          <w:rFonts w:asciiTheme="minorHAnsi" w:eastAsiaTheme="minorHAnsi" w:hAnsiTheme="minorHAnsi" w:cstheme="minorBidi"/>
        </w:rPr>
      </w:pPr>
      <w:r>
        <w:rPr>
          <w:lang w:val="en-US"/>
        </w:rPr>
        <w:fldChar w:fldCharType="begin"/>
      </w:r>
      <w:r>
        <w:rPr>
          <w:lang w:val="en-US"/>
        </w:rPr>
        <w:instrText xml:space="preserve"> LINK </w:instrText>
      </w:r>
      <w:r w:rsidR="00C302D1">
        <w:rPr>
          <w:lang w:val="en-US"/>
        </w:rPr>
        <w:instrText xml:space="preserve">Excel.Sheet.12 "C:\\Users\\corallc\\Reports\\Budget 2018-19\\Budget Estimates\\Admin Analysis May 22.xlsx" "ITS Capital!R3C1:R19C3" </w:instrText>
      </w:r>
      <w:r>
        <w:rPr>
          <w:lang w:val="en-US"/>
        </w:rPr>
        <w:instrText xml:space="preserve">\a \f 4 \h </w:instrText>
      </w:r>
      <w:r w:rsidR="003A57CF">
        <w:rPr>
          <w:lang w:val="en-US"/>
        </w:rPr>
        <w:instrText xml:space="preserve"> \* MERGEFORMAT </w:instrText>
      </w:r>
      <w:r>
        <w:rPr>
          <w:lang w:val="en-US"/>
        </w:rPr>
        <w:fldChar w:fldCharType="separate"/>
      </w:r>
    </w:p>
    <w:p w14:paraId="3EF9F87D" w14:textId="69D0BE79" w:rsidR="00263ABB" w:rsidRPr="00263ABB" w:rsidRDefault="00F76EA2" w:rsidP="00597A86">
      <w:pPr>
        <w:pStyle w:val="Heading2"/>
        <w:rPr>
          <w:lang w:val="en-US"/>
        </w:rPr>
      </w:pPr>
      <w:r>
        <w:rPr>
          <w:lang w:val="en-US"/>
        </w:rPr>
        <w:lastRenderedPageBreak/>
        <w:fldChar w:fldCharType="end"/>
      </w:r>
      <w:bookmarkStart w:id="19" w:name="_Toc484167791"/>
      <w:bookmarkStart w:id="20" w:name="_Toc104628866"/>
      <w:r w:rsidR="00FA43F8">
        <w:rPr>
          <w:lang w:val="en-US"/>
        </w:rPr>
        <w:t xml:space="preserve">Facilities </w:t>
      </w:r>
      <w:r w:rsidR="00263ABB" w:rsidRPr="00263ABB">
        <w:rPr>
          <w:lang w:val="en-US"/>
        </w:rPr>
        <w:t>Capital Funding</w:t>
      </w:r>
      <w:bookmarkEnd w:id="19"/>
      <w:bookmarkEnd w:id="20"/>
    </w:p>
    <w:tbl>
      <w:tblPr>
        <w:tblW w:w="8075" w:type="dxa"/>
        <w:tblLook w:val="04A0" w:firstRow="1" w:lastRow="0" w:firstColumn="1" w:lastColumn="0" w:noHBand="0" w:noVBand="1"/>
      </w:tblPr>
      <w:tblGrid>
        <w:gridCol w:w="222"/>
        <w:gridCol w:w="6010"/>
        <w:gridCol w:w="1843"/>
      </w:tblGrid>
      <w:tr w:rsidR="00E86D57" w:rsidRPr="00E86D57" w14:paraId="2E02A689" w14:textId="77777777" w:rsidTr="00E86D57">
        <w:trPr>
          <w:trHeight w:val="570"/>
        </w:trPr>
        <w:tc>
          <w:tcPr>
            <w:tcW w:w="62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56882" w14:textId="77777777" w:rsidR="00E86D57" w:rsidRPr="00E86D57" w:rsidRDefault="00E86D57" w:rsidP="00E86D57">
            <w:pPr>
              <w:spacing w:after="0" w:line="240" w:lineRule="auto"/>
              <w:rPr>
                <w:rFonts w:ascii="Lato" w:eastAsia="Times New Roman" w:hAnsi="Lato" w:cs="Calibri"/>
                <w:color w:val="000000"/>
                <w:sz w:val="18"/>
                <w:szCs w:val="18"/>
                <w:lang w:eastAsia="en-CA"/>
              </w:rPr>
            </w:pPr>
            <w:r w:rsidRPr="00E86D57">
              <w:rPr>
                <w:rFonts w:ascii="Lato" w:eastAsia="Times New Roman" w:hAnsi="Lato" w:cs="Calibri"/>
                <w:color w:val="000000"/>
                <w:sz w:val="18"/>
                <w:szCs w:val="18"/>
                <w:lang w:eastAsia="en-CA"/>
              </w:rPr>
              <w:t>Funding Allocation</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B170AB6" w14:textId="77777777" w:rsidR="00E86D57" w:rsidRPr="00E86D57" w:rsidRDefault="00E86D57" w:rsidP="00E86D57">
            <w:pPr>
              <w:spacing w:after="0" w:line="240" w:lineRule="auto"/>
              <w:jc w:val="center"/>
              <w:rPr>
                <w:rFonts w:ascii="Lato" w:eastAsia="Times New Roman" w:hAnsi="Lato" w:cs="Calibri"/>
                <w:color w:val="000000"/>
                <w:sz w:val="18"/>
                <w:szCs w:val="18"/>
                <w:lang w:eastAsia="en-CA"/>
              </w:rPr>
            </w:pPr>
            <w:r w:rsidRPr="00E86D57">
              <w:rPr>
                <w:rFonts w:ascii="Lato" w:eastAsia="Times New Roman" w:hAnsi="Lato" w:cs="Calibri"/>
                <w:color w:val="000000"/>
                <w:sz w:val="18"/>
                <w:szCs w:val="18"/>
                <w:lang w:eastAsia="en-CA"/>
              </w:rPr>
              <w:t>2022-23 Estimates</w:t>
            </w:r>
          </w:p>
        </w:tc>
      </w:tr>
      <w:tr w:rsidR="00E86D57" w:rsidRPr="00E86D57" w14:paraId="0596C32D" w14:textId="77777777" w:rsidTr="00E86D57">
        <w:trPr>
          <w:trHeight w:val="315"/>
        </w:trPr>
        <w:tc>
          <w:tcPr>
            <w:tcW w:w="6232" w:type="dxa"/>
            <w:gridSpan w:val="2"/>
            <w:tcBorders>
              <w:top w:val="nil"/>
              <w:left w:val="nil"/>
              <w:bottom w:val="nil"/>
              <w:right w:val="nil"/>
            </w:tcBorders>
            <w:shd w:val="clear" w:color="auto" w:fill="auto"/>
            <w:noWrap/>
            <w:vAlign w:val="bottom"/>
            <w:hideMark/>
          </w:tcPr>
          <w:p w14:paraId="36BB9503" w14:textId="77777777" w:rsidR="00E86D57" w:rsidRPr="00E86D57" w:rsidRDefault="00E86D57" w:rsidP="00E86D57">
            <w:pPr>
              <w:spacing w:after="0" w:line="240" w:lineRule="auto"/>
              <w:rPr>
                <w:rFonts w:ascii="Lato" w:eastAsia="Times New Roman" w:hAnsi="Lato" w:cs="Calibri"/>
                <w:color w:val="000000"/>
                <w:sz w:val="18"/>
                <w:szCs w:val="18"/>
                <w:lang w:eastAsia="en-CA"/>
              </w:rPr>
            </w:pPr>
            <w:r w:rsidRPr="00E86D57">
              <w:rPr>
                <w:rFonts w:ascii="Lato" w:eastAsia="Times New Roman" w:hAnsi="Lato" w:cs="Calibri"/>
                <w:color w:val="000000"/>
                <w:sz w:val="18"/>
                <w:szCs w:val="18"/>
                <w:lang w:eastAsia="en-CA"/>
              </w:rPr>
              <w:t>School Condition Improvement</w:t>
            </w:r>
          </w:p>
        </w:tc>
        <w:tc>
          <w:tcPr>
            <w:tcW w:w="1843" w:type="dxa"/>
            <w:tcBorders>
              <w:top w:val="nil"/>
              <w:left w:val="nil"/>
              <w:bottom w:val="nil"/>
              <w:right w:val="nil"/>
            </w:tcBorders>
            <w:shd w:val="clear" w:color="auto" w:fill="auto"/>
            <w:noWrap/>
            <w:vAlign w:val="bottom"/>
            <w:hideMark/>
          </w:tcPr>
          <w:p w14:paraId="55505341" w14:textId="77777777" w:rsidR="00E86D57" w:rsidRPr="00E86D57" w:rsidRDefault="00E86D57" w:rsidP="00E86D57">
            <w:pPr>
              <w:spacing w:after="0" w:line="240" w:lineRule="auto"/>
              <w:rPr>
                <w:rFonts w:ascii="Lato" w:eastAsia="Times New Roman" w:hAnsi="Lato" w:cs="Calibri"/>
                <w:color w:val="000000"/>
                <w:sz w:val="18"/>
                <w:szCs w:val="18"/>
                <w:lang w:eastAsia="en-CA"/>
              </w:rPr>
            </w:pPr>
          </w:p>
        </w:tc>
      </w:tr>
      <w:tr w:rsidR="00E86D57" w:rsidRPr="00E86D57" w14:paraId="611B77A5" w14:textId="77777777" w:rsidTr="00E86D57">
        <w:trPr>
          <w:trHeight w:val="315"/>
        </w:trPr>
        <w:tc>
          <w:tcPr>
            <w:tcW w:w="222" w:type="dxa"/>
            <w:tcBorders>
              <w:top w:val="nil"/>
              <w:left w:val="nil"/>
              <w:bottom w:val="nil"/>
              <w:right w:val="nil"/>
            </w:tcBorders>
            <w:shd w:val="clear" w:color="auto" w:fill="auto"/>
            <w:noWrap/>
            <w:vAlign w:val="bottom"/>
            <w:hideMark/>
          </w:tcPr>
          <w:p w14:paraId="03CA51AB" w14:textId="77777777" w:rsidR="00E86D57" w:rsidRPr="00E86D57" w:rsidRDefault="00E86D57" w:rsidP="00E86D57">
            <w:pPr>
              <w:spacing w:after="0" w:line="240" w:lineRule="auto"/>
              <w:rPr>
                <w:rFonts w:ascii="Times New Roman" w:eastAsia="Times New Roman" w:hAnsi="Times New Roman" w:cs="Times New Roman"/>
                <w:sz w:val="20"/>
                <w:szCs w:val="20"/>
                <w:lang w:eastAsia="en-CA"/>
              </w:rPr>
            </w:pPr>
          </w:p>
        </w:tc>
        <w:tc>
          <w:tcPr>
            <w:tcW w:w="6010" w:type="dxa"/>
            <w:tcBorders>
              <w:top w:val="nil"/>
              <w:left w:val="nil"/>
              <w:bottom w:val="nil"/>
              <w:right w:val="nil"/>
            </w:tcBorders>
            <w:shd w:val="clear" w:color="auto" w:fill="auto"/>
            <w:noWrap/>
            <w:vAlign w:val="bottom"/>
            <w:hideMark/>
          </w:tcPr>
          <w:p w14:paraId="03ABC911" w14:textId="77777777" w:rsidR="00E86D57" w:rsidRPr="00E86D57" w:rsidRDefault="00E86D57" w:rsidP="00E86D57">
            <w:pPr>
              <w:spacing w:after="0" w:line="240" w:lineRule="auto"/>
              <w:rPr>
                <w:rFonts w:ascii="Lato" w:eastAsia="Times New Roman" w:hAnsi="Lato" w:cs="Calibri"/>
                <w:color w:val="000000"/>
                <w:sz w:val="18"/>
                <w:szCs w:val="18"/>
                <w:lang w:eastAsia="en-CA"/>
              </w:rPr>
            </w:pPr>
            <w:r w:rsidRPr="00E86D57">
              <w:rPr>
                <w:rFonts w:ascii="Lato" w:eastAsia="Times New Roman" w:hAnsi="Lato" w:cs="Calibri"/>
                <w:color w:val="000000"/>
                <w:sz w:val="18"/>
                <w:szCs w:val="18"/>
                <w:lang w:eastAsia="en-CA"/>
              </w:rPr>
              <w:t>70% Major Building Components</w:t>
            </w:r>
          </w:p>
        </w:tc>
        <w:tc>
          <w:tcPr>
            <w:tcW w:w="1843" w:type="dxa"/>
            <w:tcBorders>
              <w:top w:val="nil"/>
              <w:left w:val="nil"/>
              <w:bottom w:val="nil"/>
              <w:right w:val="nil"/>
            </w:tcBorders>
            <w:shd w:val="clear" w:color="auto" w:fill="auto"/>
            <w:noWrap/>
            <w:vAlign w:val="bottom"/>
            <w:hideMark/>
          </w:tcPr>
          <w:p w14:paraId="704D50A3" w14:textId="77777777" w:rsidR="00E86D57" w:rsidRPr="00E86D57" w:rsidRDefault="00E86D57" w:rsidP="00E86D57">
            <w:pPr>
              <w:spacing w:after="0" w:line="240" w:lineRule="auto"/>
              <w:jc w:val="right"/>
              <w:rPr>
                <w:rFonts w:ascii="Lato" w:eastAsia="Times New Roman" w:hAnsi="Lato" w:cs="Calibri"/>
                <w:color w:val="000000"/>
                <w:sz w:val="18"/>
                <w:szCs w:val="18"/>
                <w:lang w:eastAsia="en-CA"/>
              </w:rPr>
            </w:pPr>
            <w:r w:rsidRPr="00E86D57">
              <w:rPr>
                <w:rFonts w:ascii="Lato" w:eastAsia="Times New Roman" w:hAnsi="Lato" w:cs="Calibri"/>
                <w:color w:val="000000"/>
                <w:sz w:val="18"/>
                <w:szCs w:val="18"/>
                <w:lang w:eastAsia="en-CA"/>
              </w:rPr>
              <w:t>3,715,190</w:t>
            </w:r>
          </w:p>
        </w:tc>
      </w:tr>
      <w:tr w:rsidR="00E86D57" w:rsidRPr="00E86D57" w14:paraId="6A5958C9" w14:textId="77777777" w:rsidTr="00E86D57">
        <w:trPr>
          <w:trHeight w:val="315"/>
        </w:trPr>
        <w:tc>
          <w:tcPr>
            <w:tcW w:w="222" w:type="dxa"/>
            <w:tcBorders>
              <w:top w:val="nil"/>
              <w:left w:val="nil"/>
              <w:bottom w:val="nil"/>
              <w:right w:val="nil"/>
            </w:tcBorders>
            <w:shd w:val="clear" w:color="auto" w:fill="auto"/>
            <w:noWrap/>
            <w:vAlign w:val="bottom"/>
            <w:hideMark/>
          </w:tcPr>
          <w:p w14:paraId="75C9EDA6" w14:textId="77777777" w:rsidR="00E86D57" w:rsidRPr="00E86D57" w:rsidRDefault="00E86D57" w:rsidP="00E86D57">
            <w:pPr>
              <w:spacing w:after="0" w:line="240" w:lineRule="auto"/>
              <w:jc w:val="right"/>
              <w:rPr>
                <w:rFonts w:ascii="Lato" w:eastAsia="Times New Roman" w:hAnsi="Lato" w:cs="Calibri"/>
                <w:color w:val="000000"/>
                <w:sz w:val="18"/>
                <w:szCs w:val="18"/>
                <w:lang w:eastAsia="en-CA"/>
              </w:rPr>
            </w:pPr>
          </w:p>
        </w:tc>
        <w:tc>
          <w:tcPr>
            <w:tcW w:w="6010" w:type="dxa"/>
            <w:tcBorders>
              <w:top w:val="nil"/>
              <w:left w:val="nil"/>
              <w:bottom w:val="nil"/>
              <w:right w:val="nil"/>
            </w:tcBorders>
            <w:shd w:val="clear" w:color="auto" w:fill="auto"/>
            <w:noWrap/>
            <w:vAlign w:val="bottom"/>
            <w:hideMark/>
          </w:tcPr>
          <w:p w14:paraId="5EAEEB0B" w14:textId="77777777" w:rsidR="00E86D57" w:rsidRPr="00E86D57" w:rsidRDefault="00E86D57" w:rsidP="00E86D57">
            <w:pPr>
              <w:spacing w:after="0" w:line="240" w:lineRule="auto"/>
              <w:rPr>
                <w:rFonts w:ascii="Lato" w:eastAsia="Times New Roman" w:hAnsi="Lato" w:cs="Calibri"/>
                <w:color w:val="000000"/>
                <w:sz w:val="18"/>
                <w:szCs w:val="18"/>
                <w:lang w:eastAsia="en-CA"/>
              </w:rPr>
            </w:pPr>
            <w:r w:rsidRPr="00E86D57">
              <w:rPr>
                <w:rFonts w:ascii="Lato" w:eastAsia="Times New Roman" w:hAnsi="Lato" w:cs="Calibri"/>
                <w:color w:val="000000"/>
                <w:sz w:val="18"/>
                <w:szCs w:val="18"/>
                <w:lang w:eastAsia="en-CA"/>
              </w:rPr>
              <w:t>30% Other Building Components</w:t>
            </w:r>
          </w:p>
        </w:tc>
        <w:tc>
          <w:tcPr>
            <w:tcW w:w="1843" w:type="dxa"/>
            <w:tcBorders>
              <w:top w:val="nil"/>
              <w:left w:val="nil"/>
              <w:bottom w:val="single" w:sz="4" w:space="0" w:color="auto"/>
              <w:right w:val="nil"/>
            </w:tcBorders>
            <w:shd w:val="clear" w:color="auto" w:fill="auto"/>
            <w:noWrap/>
            <w:vAlign w:val="bottom"/>
            <w:hideMark/>
          </w:tcPr>
          <w:p w14:paraId="777BFB01" w14:textId="77777777" w:rsidR="00E86D57" w:rsidRPr="00E86D57" w:rsidRDefault="00E86D57" w:rsidP="00E86D57">
            <w:pPr>
              <w:spacing w:after="0" w:line="240" w:lineRule="auto"/>
              <w:jc w:val="right"/>
              <w:rPr>
                <w:rFonts w:ascii="Lato" w:eastAsia="Times New Roman" w:hAnsi="Lato" w:cs="Calibri"/>
                <w:color w:val="000000"/>
                <w:sz w:val="18"/>
                <w:szCs w:val="18"/>
                <w:lang w:eastAsia="en-CA"/>
              </w:rPr>
            </w:pPr>
            <w:r w:rsidRPr="00E86D57">
              <w:rPr>
                <w:rFonts w:ascii="Lato" w:eastAsia="Times New Roman" w:hAnsi="Lato" w:cs="Calibri"/>
                <w:color w:val="000000"/>
                <w:sz w:val="18"/>
                <w:szCs w:val="18"/>
                <w:lang w:eastAsia="en-CA"/>
              </w:rPr>
              <w:t>1,592,224</w:t>
            </w:r>
          </w:p>
        </w:tc>
      </w:tr>
      <w:tr w:rsidR="00E86D57" w:rsidRPr="00E86D57" w14:paraId="71A67BEE" w14:textId="77777777" w:rsidTr="00E86D57">
        <w:trPr>
          <w:trHeight w:val="315"/>
        </w:trPr>
        <w:tc>
          <w:tcPr>
            <w:tcW w:w="6232" w:type="dxa"/>
            <w:gridSpan w:val="2"/>
            <w:tcBorders>
              <w:top w:val="nil"/>
              <w:left w:val="nil"/>
              <w:bottom w:val="nil"/>
              <w:right w:val="nil"/>
            </w:tcBorders>
            <w:shd w:val="clear" w:color="auto" w:fill="auto"/>
            <w:noWrap/>
            <w:vAlign w:val="bottom"/>
            <w:hideMark/>
          </w:tcPr>
          <w:p w14:paraId="00B007F1" w14:textId="77777777" w:rsidR="00E86D57" w:rsidRPr="00E86D57" w:rsidRDefault="00E86D57" w:rsidP="00E86D57">
            <w:pPr>
              <w:spacing w:after="0" w:line="240" w:lineRule="auto"/>
              <w:rPr>
                <w:rFonts w:ascii="Lato" w:eastAsia="Times New Roman" w:hAnsi="Lato" w:cs="Calibri"/>
                <w:color w:val="000000"/>
                <w:sz w:val="18"/>
                <w:szCs w:val="18"/>
                <w:lang w:eastAsia="en-CA"/>
              </w:rPr>
            </w:pPr>
            <w:r w:rsidRPr="00E86D57">
              <w:rPr>
                <w:rFonts w:ascii="Lato" w:eastAsia="Times New Roman" w:hAnsi="Lato" w:cs="Calibri"/>
                <w:color w:val="000000"/>
                <w:sz w:val="18"/>
                <w:szCs w:val="18"/>
                <w:lang w:eastAsia="en-CA"/>
              </w:rPr>
              <w:t xml:space="preserve">Total </w:t>
            </w:r>
          </w:p>
        </w:tc>
        <w:tc>
          <w:tcPr>
            <w:tcW w:w="1843" w:type="dxa"/>
            <w:tcBorders>
              <w:top w:val="nil"/>
              <w:left w:val="nil"/>
              <w:bottom w:val="nil"/>
              <w:right w:val="nil"/>
            </w:tcBorders>
            <w:shd w:val="clear" w:color="auto" w:fill="auto"/>
            <w:noWrap/>
            <w:vAlign w:val="bottom"/>
            <w:hideMark/>
          </w:tcPr>
          <w:p w14:paraId="7C2D51C2" w14:textId="77777777" w:rsidR="00E86D57" w:rsidRPr="00E86D57" w:rsidRDefault="00E86D57" w:rsidP="00E86D57">
            <w:pPr>
              <w:spacing w:after="0" w:line="240" w:lineRule="auto"/>
              <w:jc w:val="right"/>
              <w:rPr>
                <w:rFonts w:ascii="Lato" w:eastAsia="Times New Roman" w:hAnsi="Lato" w:cs="Calibri"/>
                <w:color w:val="000000"/>
                <w:sz w:val="18"/>
                <w:szCs w:val="18"/>
                <w:lang w:eastAsia="en-CA"/>
              </w:rPr>
            </w:pPr>
            <w:r w:rsidRPr="00E86D57">
              <w:rPr>
                <w:rFonts w:ascii="Lato" w:eastAsia="Times New Roman" w:hAnsi="Lato" w:cs="Calibri"/>
                <w:color w:val="000000"/>
                <w:sz w:val="18"/>
                <w:szCs w:val="18"/>
                <w:lang w:eastAsia="en-CA"/>
              </w:rPr>
              <w:t>5,307,414</w:t>
            </w:r>
          </w:p>
        </w:tc>
      </w:tr>
      <w:tr w:rsidR="00E86D57" w:rsidRPr="00E86D57" w14:paraId="2654FCC9" w14:textId="77777777" w:rsidTr="00E86D57">
        <w:trPr>
          <w:trHeight w:val="315"/>
        </w:trPr>
        <w:tc>
          <w:tcPr>
            <w:tcW w:w="6232" w:type="dxa"/>
            <w:gridSpan w:val="2"/>
            <w:tcBorders>
              <w:top w:val="nil"/>
              <w:left w:val="nil"/>
              <w:bottom w:val="nil"/>
              <w:right w:val="nil"/>
            </w:tcBorders>
            <w:shd w:val="clear" w:color="auto" w:fill="auto"/>
            <w:noWrap/>
            <w:vAlign w:val="bottom"/>
            <w:hideMark/>
          </w:tcPr>
          <w:p w14:paraId="1AED59F7" w14:textId="77777777" w:rsidR="00E86D57" w:rsidRPr="00E86D57" w:rsidRDefault="00E86D57" w:rsidP="00E86D57">
            <w:pPr>
              <w:spacing w:after="0" w:line="240" w:lineRule="auto"/>
              <w:rPr>
                <w:rFonts w:ascii="Lato" w:eastAsia="Times New Roman" w:hAnsi="Lato" w:cs="Calibri"/>
                <w:color w:val="000000"/>
                <w:sz w:val="18"/>
                <w:szCs w:val="18"/>
                <w:lang w:eastAsia="en-CA"/>
              </w:rPr>
            </w:pPr>
            <w:r w:rsidRPr="00E86D57">
              <w:rPr>
                <w:rFonts w:ascii="Lato" w:eastAsia="Times New Roman" w:hAnsi="Lato" w:cs="Calibri"/>
                <w:color w:val="000000"/>
                <w:sz w:val="18"/>
                <w:szCs w:val="18"/>
                <w:lang w:eastAsia="en-CA"/>
              </w:rPr>
              <w:t>School Renewal Allocation</w:t>
            </w:r>
          </w:p>
        </w:tc>
        <w:tc>
          <w:tcPr>
            <w:tcW w:w="1843" w:type="dxa"/>
            <w:tcBorders>
              <w:top w:val="nil"/>
              <w:left w:val="nil"/>
              <w:bottom w:val="single" w:sz="4" w:space="0" w:color="auto"/>
              <w:right w:val="nil"/>
            </w:tcBorders>
            <w:shd w:val="clear" w:color="auto" w:fill="auto"/>
            <w:noWrap/>
            <w:vAlign w:val="bottom"/>
            <w:hideMark/>
          </w:tcPr>
          <w:p w14:paraId="1EA11FFD" w14:textId="77777777" w:rsidR="00E86D57" w:rsidRPr="00E86D57" w:rsidRDefault="00E86D57" w:rsidP="00E86D57">
            <w:pPr>
              <w:spacing w:after="0" w:line="240" w:lineRule="auto"/>
              <w:jc w:val="right"/>
              <w:rPr>
                <w:rFonts w:ascii="Lato" w:eastAsia="Times New Roman" w:hAnsi="Lato" w:cs="Calibri"/>
                <w:color w:val="000000"/>
                <w:sz w:val="18"/>
                <w:szCs w:val="18"/>
                <w:lang w:eastAsia="en-CA"/>
              </w:rPr>
            </w:pPr>
            <w:r w:rsidRPr="00E86D57">
              <w:rPr>
                <w:rFonts w:ascii="Lato" w:eastAsia="Times New Roman" w:hAnsi="Lato" w:cs="Calibri"/>
                <w:color w:val="000000"/>
                <w:sz w:val="18"/>
                <w:szCs w:val="18"/>
                <w:lang w:eastAsia="en-CA"/>
              </w:rPr>
              <w:t>1,383,410</w:t>
            </w:r>
          </w:p>
        </w:tc>
      </w:tr>
      <w:tr w:rsidR="00E86D57" w:rsidRPr="00E86D57" w14:paraId="5CB6B261" w14:textId="77777777" w:rsidTr="00E86D57">
        <w:trPr>
          <w:trHeight w:val="315"/>
        </w:trPr>
        <w:tc>
          <w:tcPr>
            <w:tcW w:w="6232" w:type="dxa"/>
            <w:gridSpan w:val="2"/>
            <w:tcBorders>
              <w:top w:val="nil"/>
              <w:left w:val="nil"/>
              <w:bottom w:val="nil"/>
              <w:right w:val="nil"/>
            </w:tcBorders>
            <w:shd w:val="clear" w:color="auto" w:fill="auto"/>
            <w:noWrap/>
            <w:vAlign w:val="bottom"/>
            <w:hideMark/>
          </w:tcPr>
          <w:p w14:paraId="257276A0" w14:textId="77777777" w:rsidR="00E86D57" w:rsidRPr="00E86D57" w:rsidRDefault="00E86D57" w:rsidP="00E86D57">
            <w:pPr>
              <w:spacing w:after="0" w:line="240" w:lineRule="auto"/>
              <w:rPr>
                <w:rFonts w:ascii="Lato" w:eastAsia="Times New Roman" w:hAnsi="Lato" w:cs="Calibri"/>
                <w:color w:val="000000"/>
                <w:sz w:val="18"/>
                <w:szCs w:val="18"/>
                <w:lang w:eastAsia="en-CA"/>
              </w:rPr>
            </w:pPr>
            <w:r w:rsidRPr="00E86D57">
              <w:rPr>
                <w:rFonts w:ascii="Lato" w:eastAsia="Times New Roman" w:hAnsi="Lato" w:cs="Calibri"/>
                <w:color w:val="000000"/>
                <w:sz w:val="18"/>
                <w:szCs w:val="18"/>
                <w:lang w:eastAsia="en-CA"/>
              </w:rPr>
              <w:t xml:space="preserve">Total </w:t>
            </w:r>
          </w:p>
        </w:tc>
        <w:tc>
          <w:tcPr>
            <w:tcW w:w="1843" w:type="dxa"/>
            <w:tcBorders>
              <w:top w:val="nil"/>
              <w:left w:val="nil"/>
              <w:bottom w:val="nil"/>
              <w:right w:val="nil"/>
            </w:tcBorders>
            <w:shd w:val="clear" w:color="auto" w:fill="auto"/>
            <w:noWrap/>
            <w:vAlign w:val="bottom"/>
            <w:hideMark/>
          </w:tcPr>
          <w:p w14:paraId="333D962B" w14:textId="77777777" w:rsidR="00E86D57" w:rsidRPr="00E86D57" w:rsidRDefault="00E86D57" w:rsidP="00E86D57">
            <w:pPr>
              <w:spacing w:after="0" w:line="240" w:lineRule="auto"/>
              <w:jc w:val="right"/>
              <w:rPr>
                <w:rFonts w:ascii="Lato" w:eastAsia="Times New Roman" w:hAnsi="Lato" w:cs="Calibri"/>
                <w:color w:val="000000"/>
                <w:sz w:val="18"/>
                <w:szCs w:val="18"/>
                <w:lang w:eastAsia="en-CA"/>
              </w:rPr>
            </w:pPr>
            <w:r w:rsidRPr="00E86D57">
              <w:rPr>
                <w:rFonts w:ascii="Lato" w:eastAsia="Times New Roman" w:hAnsi="Lato" w:cs="Calibri"/>
                <w:color w:val="000000"/>
                <w:sz w:val="18"/>
                <w:szCs w:val="18"/>
                <w:lang w:eastAsia="en-CA"/>
              </w:rPr>
              <w:t>6,690,824</w:t>
            </w:r>
          </w:p>
        </w:tc>
      </w:tr>
      <w:tr w:rsidR="00E86D57" w:rsidRPr="00E86D57" w14:paraId="0F94DC75" w14:textId="77777777" w:rsidTr="00E86D57">
        <w:trPr>
          <w:trHeight w:val="315"/>
        </w:trPr>
        <w:tc>
          <w:tcPr>
            <w:tcW w:w="6232" w:type="dxa"/>
            <w:gridSpan w:val="2"/>
            <w:tcBorders>
              <w:top w:val="nil"/>
              <w:left w:val="nil"/>
              <w:bottom w:val="nil"/>
              <w:right w:val="nil"/>
            </w:tcBorders>
            <w:shd w:val="clear" w:color="auto" w:fill="auto"/>
            <w:noWrap/>
            <w:vAlign w:val="bottom"/>
            <w:hideMark/>
          </w:tcPr>
          <w:p w14:paraId="67E62D5F" w14:textId="77777777" w:rsidR="00E86D57" w:rsidRPr="00E86D57" w:rsidRDefault="00E86D57" w:rsidP="00E86D57">
            <w:pPr>
              <w:spacing w:after="0" w:line="240" w:lineRule="auto"/>
              <w:rPr>
                <w:rFonts w:ascii="Lato" w:eastAsia="Times New Roman" w:hAnsi="Lato" w:cs="Calibri"/>
                <w:color w:val="000000"/>
                <w:sz w:val="18"/>
                <w:szCs w:val="18"/>
                <w:lang w:eastAsia="en-CA"/>
              </w:rPr>
            </w:pPr>
            <w:r w:rsidRPr="00E86D57">
              <w:rPr>
                <w:rFonts w:ascii="Lato" w:eastAsia="Times New Roman" w:hAnsi="Lato" w:cs="Calibri"/>
                <w:color w:val="000000"/>
                <w:sz w:val="18"/>
                <w:szCs w:val="18"/>
                <w:lang w:eastAsia="en-CA"/>
              </w:rPr>
              <w:t>Less: Estimated Project Costs</w:t>
            </w:r>
          </w:p>
        </w:tc>
        <w:tc>
          <w:tcPr>
            <w:tcW w:w="1843" w:type="dxa"/>
            <w:tcBorders>
              <w:top w:val="nil"/>
              <w:left w:val="nil"/>
              <w:bottom w:val="single" w:sz="4" w:space="0" w:color="auto"/>
              <w:right w:val="nil"/>
            </w:tcBorders>
            <w:shd w:val="clear" w:color="auto" w:fill="auto"/>
            <w:noWrap/>
            <w:vAlign w:val="bottom"/>
            <w:hideMark/>
          </w:tcPr>
          <w:p w14:paraId="04677234" w14:textId="77777777" w:rsidR="00E86D57" w:rsidRPr="00E86D57" w:rsidRDefault="00E86D57" w:rsidP="00E86D57">
            <w:pPr>
              <w:spacing w:after="0" w:line="240" w:lineRule="auto"/>
              <w:jc w:val="right"/>
              <w:rPr>
                <w:rFonts w:ascii="Lato" w:eastAsia="Times New Roman" w:hAnsi="Lato" w:cs="Calibri"/>
                <w:color w:val="000000"/>
                <w:sz w:val="18"/>
                <w:szCs w:val="18"/>
                <w:lang w:eastAsia="en-CA"/>
              </w:rPr>
            </w:pPr>
            <w:r w:rsidRPr="00E86D57">
              <w:rPr>
                <w:rFonts w:ascii="Lato" w:eastAsia="Times New Roman" w:hAnsi="Lato" w:cs="Calibri"/>
                <w:color w:val="000000"/>
                <w:sz w:val="18"/>
                <w:szCs w:val="18"/>
                <w:lang w:eastAsia="en-CA"/>
              </w:rPr>
              <w:t>6,600,000</w:t>
            </w:r>
          </w:p>
        </w:tc>
      </w:tr>
      <w:tr w:rsidR="00E86D57" w:rsidRPr="00E86D57" w14:paraId="5AB36532" w14:textId="77777777" w:rsidTr="00E86D57">
        <w:trPr>
          <w:trHeight w:val="315"/>
        </w:trPr>
        <w:tc>
          <w:tcPr>
            <w:tcW w:w="6232" w:type="dxa"/>
            <w:gridSpan w:val="2"/>
            <w:tcBorders>
              <w:top w:val="nil"/>
              <w:left w:val="nil"/>
              <w:bottom w:val="nil"/>
              <w:right w:val="nil"/>
            </w:tcBorders>
            <w:shd w:val="clear" w:color="auto" w:fill="auto"/>
            <w:noWrap/>
            <w:vAlign w:val="bottom"/>
            <w:hideMark/>
          </w:tcPr>
          <w:p w14:paraId="5CDA2462" w14:textId="77777777" w:rsidR="00E86D57" w:rsidRPr="00E86D57" w:rsidRDefault="00E86D57" w:rsidP="00E86D57">
            <w:pPr>
              <w:spacing w:after="0" w:line="240" w:lineRule="auto"/>
              <w:rPr>
                <w:rFonts w:ascii="Lato" w:eastAsia="Times New Roman" w:hAnsi="Lato" w:cs="Calibri"/>
                <w:color w:val="000000"/>
                <w:sz w:val="18"/>
                <w:szCs w:val="18"/>
                <w:lang w:eastAsia="en-CA"/>
              </w:rPr>
            </w:pPr>
            <w:r w:rsidRPr="00E86D57">
              <w:rPr>
                <w:rFonts w:ascii="Lato" w:eastAsia="Times New Roman" w:hAnsi="Lato" w:cs="Calibri"/>
                <w:color w:val="000000"/>
                <w:sz w:val="18"/>
                <w:szCs w:val="18"/>
                <w:lang w:eastAsia="en-CA"/>
              </w:rPr>
              <w:t>Carryover/Contingency</w:t>
            </w:r>
          </w:p>
        </w:tc>
        <w:tc>
          <w:tcPr>
            <w:tcW w:w="1843" w:type="dxa"/>
            <w:tcBorders>
              <w:top w:val="single" w:sz="4" w:space="0" w:color="auto"/>
              <w:left w:val="nil"/>
              <w:bottom w:val="single" w:sz="4" w:space="0" w:color="auto"/>
              <w:right w:val="nil"/>
            </w:tcBorders>
            <w:shd w:val="clear" w:color="auto" w:fill="auto"/>
            <w:noWrap/>
            <w:vAlign w:val="bottom"/>
            <w:hideMark/>
          </w:tcPr>
          <w:p w14:paraId="37B2A010" w14:textId="77777777" w:rsidR="00E86D57" w:rsidRPr="00E86D57" w:rsidRDefault="00E86D57" w:rsidP="00E86D57">
            <w:pPr>
              <w:spacing w:after="0" w:line="240" w:lineRule="auto"/>
              <w:jc w:val="right"/>
              <w:rPr>
                <w:rFonts w:ascii="Lato" w:eastAsia="Times New Roman" w:hAnsi="Lato" w:cs="Calibri"/>
                <w:color w:val="000000"/>
                <w:sz w:val="18"/>
                <w:szCs w:val="18"/>
                <w:lang w:eastAsia="en-CA"/>
              </w:rPr>
            </w:pPr>
            <w:r w:rsidRPr="00E86D57">
              <w:rPr>
                <w:rFonts w:ascii="Lato" w:eastAsia="Times New Roman" w:hAnsi="Lato" w:cs="Calibri"/>
                <w:color w:val="000000"/>
                <w:sz w:val="18"/>
                <w:szCs w:val="18"/>
                <w:lang w:eastAsia="en-CA"/>
              </w:rPr>
              <w:t>90,824</w:t>
            </w:r>
          </w:p>
        </w:tc>
      </w:tr>
    </w:tbl>
    <w:p w14:paraId="579A392D" w14:textId="5C0F50EA" w:rsidR="00170F1B" w:rsidRPr="00C67F9C" w:rsidRDefault="00170F1B" w:rsidP="00263ABB">
      <w:pPr>
        <w:spacing w:after="0" w:line="240" w:lineRule="auto"/>
        <w:rPr>
          <w:highlight w:val="yellow"/>
        </w:rPr>
      </w:pPr>
      <w:r w:rsidRPr="00C67F9C">
        <w:rPr>
          <w:rFonts w:ascii="Times New Roman" w:eastAsia="Times New Roman" w:hAnsi="Times New Roman" w:cs="Times New Roman"/>
          <w:sz w:val="24"/>
          <w:szCs w:val="20"/>
          <w:highlight w:val="yellow"/>
          <w:lang w:val="en-US"/>
        </w:rPr>
        <w:fldChar w:fldCharType="begin"/>
      </w:r>
      <w:r w:rsidRPr="00C67F9C">
        <w:rPr>
          <w:rFonts w:ascii="Times New Roman" w:eastAsia="Times New Roman" w:hAnsi="Times New Roman" w:cs="Times New Roman"/>
          <w:sz w:val="24"/>
          <w:szCs w:val="20"/>
          <w:highlight w:val="yellow"/>
          <w:lang w:val="en-US"/>
        </w:rPr>
        <w:instrText xml:space="preserve"> LINK Excel.Sheet.12 "C:\\Users\\corallc\\AppData\\Local\\Microsoft\\Windows\\INetCache\\Content.Outlook\\D6WSZTWP\\Facilities Capital Funding (002).xlsx" "Sheet1!R4C1:R13C5" \a \f 4 \h  \* MERGEFORMAT </w:instrText>
      </w:r>
      <w:r w:rsidRPr="00C67F9C">
        <w:rPr>
          <w:rFonts w:ascii="Times New Roman" w:eastAsia="Times New Roman" w:hAnsi="Times New Roman" w:cs="Times New Roman"/>
          <w:sz w:val="24"/>
          <w:szCs w:val="20"/>
          <w:highlight w:val="yellow"/>
          <w:lang w:val="en-US"/>
        </w:rPr>
        <w:fldChar w:fldCharType="separate"/>
      </w:r>
    </w:p>
    <w:p w14:paraId="16BEB113" w14:textId="0B75B7C1" w:rsidR="00263ABB" w:rsidRPr="00263ABB" w:rsidRDefault="00170F1B" w:rsidP="00263ABB">
      <w:pPr>
        <w:spacing w:after="0" w:line="240" w:lineRule="auto"/>
        <w:rPr>
          <w:rFonts w:ascii="Times New Roman" w:eastAsia="Times New Roman" w:hAnsi="Times New Roman" w:cs="Times New Roman"/>
          <w:sz w:val="24"/>
          <w:szCs w:val="20"/>
          <w:lang w:val="en-US"/>
        </w:rPr>
      </w:pPr>
      <w:r w:rsidRPr="00C67F9C">
        <w:rPr>
          <w:rFonts w:ascii="Times New Roman" w:eastAsia="Times New Roman" w:hAnsi="Times New Roman" w:cs="Times New Roman"/>
          <w:sz w:val="24"/>
          <w:szCs w:val="20"/>
          <w:highlight w:val="yellow"/>
          <w:lang w:val="en-US"/>
        </w:rPr>
        <w:fldChar w:fldCharType="end"/>
      </w:r>
    </w:p>
    <w:p w14:paraId="2C9BDB54" w14:textId="77777777" w:rsidR="00263ABB" w:rsidRPr="00263ABB" w:rsidRDefault="00263ABB" w:rsidP="00263ABB">
      <w:pPr>
        <w:keepNext/>
        <w:keepLines/>
        <w:spacing w:before="40" w:after="0" w:line="240" w:lineRule="auto"/>
        <w:outlineLvl w:val="3"/>
        <w:rPr>
          <w:rFonts w:asciiTheme="majorHAnsi" w:eastAsiaTheme="majorEastAsia" w:hAnsiTheme="majorHAnsi" w:cstheme="majorBidi"/>
          <w:i/>
          <w:iCs/>
          <w:color w:val="2E74B5" w:themeColor="accent1" w:themeShade="BF"/>
          <w:sz w:val="24"/>
          <w:szCs w:val="20"/>
          <w:lang w:val="en-US"/>
        </w:rPr>
      </w:pPr>
      <w:r w:rsidRPr="00263ABB">
        <w:rPr>
          <w:rFonts w:asciiTheme="majorHAnsi" w:eastAsiaTheme="majorEastAsia" w:hAnsiTheme="majorHAnsi" w:cstheme="majorBidi"/>
          <w:i/>
          <w:iCs/>
          <w:color w:val="2E74B5" w:themeColor="accent1" w:themeShade="BF"/>
          <w:sz w:val="24"/>
          <w:szCs w:val="20"/>
          <w:lang w:val="en-US"/>
        </w:rPr>
        <w:t>School Condition Improvement (SCI)</w:t>
      </w:r>
    </w:p>
    <w:p w14:paraId="33349831" w14:textId="7BE8661C" w:rsidR="00263ABB" w:rsidRPr="003F1A42" w:rsidRDefault="00263ABB" w:rsidP="008D3E9D">
      <w:pPr>
        <w:pStyle w:val="NoSpacing"/>
        <w:rPr>
          <w:rFonts w:asciiTheme="majorHAnsi" w:hAnsiTheme="majorHAnsi" w:cstheme="majorHAnsi"/>
          <w:sz w:val="24"/>
          <w:szCs w:val="24"/>
          <w:lang w:val="en-US"/>
        </w:rPr>
      </w:pPr>
      <w:r w:rsidRPr="003F1A42">
        <w:rPr>
          <w:rFonts w:asciiTheme="majorHAnsi" w:hAnsiTheme="majorHAnsi" w:cstheme="majorHAnsi"/>
          <w:sz w:val="24"/>
          <w:szCs w:val="24"/>
          <w:lang w:eastAsia="en-CA"/>
        </w:rPr>
        <w:t xml:space="preserve">This funding source is to be used to keep schools in a state of good repair, starting in 2015-16, school boards are required to direct 70 percent of their SCI funds to address major building components (for example, foundations, roofs, windows) and systems (for example, HVAC and plumbing). The remaining 30 percent of SCI funding can continue to address specifically identified building components or, alternatively, building interiors and surrounding site components (for example, utilities, parking and pavements). </w:t>
      </w:r>
      <w:r w:rsidRPr="003F1A42">
        <w:rPr>
          <w:rFonts w:asciiTheme="majorHAnsi" w:hAnsiTheme="majorHAnsi" w:cstheme="majorHAnsi"/>
          <w:sz w:val="24"/>
          <w:szCs w:val="24"/>
          <w:lang w:val="en-US"/>
        </w:rPr>
        <w:t>Unspent funds in any given school year will be carried forward to the next school year and continue to follow the “70/30” rule.</w:t>
      </w:r>
    </w:p>
    <w:p w14:paraId="03BF67D8" w14:textId="77777777" w:rsidR="00263ABB" w:rsidRPr="003A57CF" w:rsidRDefault="00263ABB" w:rsidP="00263ABB">
      <w:pPr>
        <w:spacing w:after="0" w:line="240" w:lineRule="auto"/>
        <w:rPr>
          <w:rFonts w:asciiTheme="majorHAnsi" w:eastAsia="Times New Roman" w:hAnsiTheme="majorHAnsi" w:cstheme="majorHAnsi"/>
          <w:sz w:val="24"/>
          <w:szCs w:val="24"/>
          <w:lang w:val="en-US"/>
        </w:rPr>
      </w:pPr>
    </w:p>
    <w:p w14:paraId="60FF8D5A" w14:textId="77777777" w:rsidR="00263ABB" w:rsidRPr="003F1A42" w:rsidRDefault="00263ABB" w:rsidP="00263ABB">
      <w:pPr>
        <w:keepNext/>
        <w:keepLines/>
        <w:spacing w:before="40" w:after="0" w:line="240" w:lineRule="auto"/>
        <w:outlineLvl w:val="3"/>
        <w:rPr>
          <w:rFonts w:asciiTheme="majorHAnsi" w:eastAsiaTheme="majorEastAsia" w:hAnsiTheme="majorHAnsi" w:cstheme="majorHAnsi"/>
          <w:i/>
          <w:iCs/>
          <w:color w:val="2E74B5" w:themeColor="accent1" w:themeShade="BF"/>
          <w:sz w:val="24"/>
          <w:szCs w:val="24"/>
          <w:lang w:val="en-US"/>
        </w:rPr>
      </w:pPr>
      <w:r w:rsidRPr="003F1A42">
        <w:rPr>
          <w:rFonts w:asciiTheme="majorHAnsi" w:eastAsiaTheme="majorEastAsia" w:hAnsiTheme="majorHAnsi" w:cstheme="majorHAnsi"/>
          <w:i/>
          <w:iCs/>
          <w:color w:val="2E74B5" w:themeColor="accent1" w:themeShade="BF"/>
          <w:sz w:val="24"/>
          <w:szCs w:val="24"/>
          <w:lang w:val="en-US"/>
        </w:rPr>
        <w:t>School Renewal Allocation (SRA)</w:t>
      </w:r>
    </w:p>
    <w:p w14:paraId="46DEA543" w14:textId="003CB5EB" w:rsidR="00263ABB" w:rsidRPr="003F1A42" w:rsidRDefault="00263ABB" w:rsidP="008D3E9D">
      <w:pPr>
        <w:pStyle w:val="NoSpacing"/>
        <w:rPr>
          <w:rFonts w:asciiTheme="majorHAnsi" w:hAnsiTheme="majorHAnsi" w:cstheme="majorHAnsi"/>
          <w:sz w:val="24"/>
          <w:szCs w:val="24"/>
          <w:lang w:val="en-US"/>
        </w:rPr>
      </w:pPr>
      <w:r w:rsidRPr="003F1A42">
        <w:rPr>
          <w:rFonts w:asciiTheme="majorHAnsi" w:hAnsiTheme="majorHAnsi" w:cstheme="majorHAnsi"/>
          <w:sz w:val="24"/>
          <w:szCs w:val="24"/>
          <w:lang w:val="en-US"/>
        </w:rPr>
        <w:t>This funding is provided for the purpose of addressing costs related to the repairs and renovations of our schools. There has also been some additional funding provided for this purpose whose use has been split with 40 percent of the funds allocated towards operating/ maintenance type expenditures (</w:t>
      </w:r>
      <w:r w:rsidR="00414BC1" w:rsidRPr="003F1A42">
        <w:rPr>
          <w:rFonts w:asciiTheme="majorHAnsi" w:hAnsiTheme="majorHAnsi" w:cstheme="majorHAnsi"/>
          <w:sz w:val="24"/>
          <w:szCs w:val="24"/>
          <w:lang w:val="en-US"/>
        </w:rPr>
        <w:t>e.g.,</w:t>
      </w:r>
      <w:r w:rsidRPr="003F1A42">
        <w:rPr>
          <w:rFonts w:asciiTheme="majorHAnsi" w:hAnsiTheme="majorHAnsi" w:cstheme="majorHAnsi"/>
          <w:sz w:val="24"/>
          <w:szCs w:val="24"/>
          <w:lang w:val="en-US"/>
        </w:rPr>
        <w:t xml:space="preserve"> painting) and the remaining 60 percent of the funds allocated towards expenditures that are capital in nature (</w:t>
      </w:r>
      <w:r w:rsidR="00414BC1" w:rsidRPr="003F1A42">
        <w:rPr>
          <w:rFonts w:asciiTheme="majorHAnsi" w:hAnsiTheme="majorHAnsi" w:cstheme="majorHAnsi"/>
          <w:sz w:val="24"/>
          <w:szCs w:val="24"/>
          <w:lang w:val="en-US"/>
        </w:rPr>
        <w:t>e.g.,</w:t>
      </w:r>
      <w:r w:rsidRPr="003F1A42">
        <w:rPr>
          <w:rFonts w:asciiTheme="majorHAnsi" w:hAnsiTheme="majorHAnsi" w:cstheme="majorHAnsi"/>
          <w:sz w:val="24"/>
          <w:szCs w:val="24"/>
          <w:lang w:val="en-US"/>
        </w:rPr>
        <w:t xml:space="preserve"> roof repair, accessibility enhancements, portable repair). While the operating / maintenance funds can be put towards capital investments, the additional capital funds cannot be put towards operating / maintenance items. Unspent SRA funds in any given school year will be carried forward to the next school year. Any unspent operating / maintenance funds will be carried forward to address operating / maintenance expenditures in the next school year.</w:t>
      </w:r>
    </w:p>
    <w:p w14:paraId="6676E6EF" w14:textId="77777777" w:rsidR="00263ABB" w:rsidRPr="003A57CF" w:rsidRDefault="00263ABB" w:rsidP="00263ABB">
      <w:pPr>
        <w:spacing w:after="0" w:line="240" w:lineRule="auto"/>
        <w:rPr>
          <w:rFonts w:asciiTheme="majorHAnsi" w:eastAsia="Times New Roman" w:hAnsiTheme="majorHAnsi" w:cstheme="majorHAnsi"/>
          <w:sz w:val="24"/>
          <w:szCs w:val="20"/>
          <w:lang w:val="en-US"/>
        </w:rPr>
      </w:pPr>
    </w:p>
    <w:p w14:paraId="19C75184" w14:textId="6CDAFD8E" w:rsidR="00263ABB" w:rsidRPr="003F1A42" w:rsidRDefault="00EC0112" w:rsidP="00EC0112">
      <w:pPr>
        <w:pStyle w:val="Heading4"/>
        <w:rPr>
          <w:rFonts w:eastAsia="Times New Roman"/>
          <w:sz w:val="24"/>
          <w:szCs w:val="24"/>
          <w:lang w:val="en-US"/>
        </w:rPr>
      </w:pPr>
      <w:r w:rsidRPr="003F1A42">
        <w:rPr>
          <w:rFonts w:eastAsia="Times New Roman"/>
          <w:sz w:val="24"/>
          <w:szCs w:val="24"/>
          <w:lang w:val="en-US"/>
        </w:rPr>
        <w:t>Capital Project Selection</w:t>
      </w:r>
    </w:p>
    <w:p w14:paraId="096EFFB1" w14:textId="0B74852D" w:rsidR="008D3E9D" w:rsidRPr="003F1A42" w:rsidRDefault="00052FCC" w:rsidP="008D3E9D">
      <w:pPr>
        <w:pStyle w:val="NoSpacing"/>
        <w:rPr>
          <w:rFonts w:asciiTheme="majorHAnsi" w:hAnsiTheme="majorHAnsi" w:cstheme="majorHAnsi"/>
          <w:sz w:val="24"/>
          <w:szCs w:val="24"/>
        </w:rPr>
      </w:pPr>
      <w:r w:rsidRPr="003F1A42">
        <w:rPr>
          <w:rFonts w:asciiTheme="majorHAnsi" w:hAnsiTheme="majorHAnsi" w:cstheme="majorHAnsi"/>
          <w:sz w:val="24"/>
          <w:szCs w:val="24"/>
        </w:rPr>
        <w:t>F</w:t>
      </w:r>
      <w:r w:rsidR="007F1966" w:rsidRPr="003F1A42">
        <w:rPr>
          <w:rFonts w:asciiTheme="majorHAnsi" w:hAnsiTheme="majorHAnsi" w:cstheme="majorHAnsi"/>
          <w:sz w:val="24"/>
          <w:szCs w:val="24"/>
        </w:rPr>
        <w:t>ollowing is a high- level overview of capital projects under consideration for completion for the 202</w:t>
      </w:r>
      <w:r w:rsidR="00C32603">
        <w:rPr>
          <w:rFonts w:asciiTheme="majorHAnsi" w:hAnsiTheme="majorHAnsi" w:cstheme="majorHAnsi"/>
          <w:sz w:val="24"/>
          <w:szCs w:val="24"/>
        </w:rPr>
        <w:t>2</w:t>
      </w:r>
      <w:r w:rsidR="007F1966" w:rsidRPr="003F1A42">
        <w:rPr>
          <w:rFonts w:asciiTheme="majorHAnsi" w:hAnsiTheme="majorHAnsi" w:cstheme="majorHAnsi"/>
          <w:sz w:val="24"/>
          <w:szCs w:val="24"/>
        </w:rPr>
        <w:t>/2</w:t>
      </w:r>
      <w:r w:rsidR="00C32603">
        <w:rPr>
          <w:rFonts w:asciiTheme="majorHAnsi" w:hAnsiTheme="majorHAnsi" w:cstheme="majorHAnsi"/>
          <w:sz w:val="24"/>
          <w:szCs w:val="24"/>
        </w:rPr>
        <w:t>3</w:t>
      </w:r>
      <w:r w:rsidR="007F1966" w:rsidRPr="003F1A42">
        <w:rPr>
          <w:rFonts w:asciiTheme="majorHAnsi" w:hAnsiTheme="majorHAnsi" w:cstheme="majorHAnsi"/>
          <w:sz w:val="24"/>
          <w:szCs w:val="24"/>
        </w:rPr>
        <w:t xml:space="preserve"> school year</w:t>
      </w:r>
      <w:r w:rsidR="009C5EB1" w:rsidRPr="003F1A42">
        <w:rPr>
          <w:rFonts w:asciiTheme="majorHAnsi" w:hAnsiTheme="majorHAnsi" w:cstheme="majorHAnsi"/>
          <w:sz w:val="24"/>
          <w:szCs w:val="24"/>
        </w:rPr>
        <w:t>, which is consistent with those identified</w:t>
      </w:r>
      <w:r w:rsidR="00B47970" w:rsidRPr="003F1A42">
        <w:rPr>
          <w:rFonts w:asciiTheme="majorHAnsi" w:hAnsiTheme="majorHAnsi" w:cstheme="majorHAnsi"/>
          <w:sz w:val="24"/>
          <w:szCs w:val="24"/>
        </w:rPr>
        <w:t xml:space="preserve"> in the Long-term Capital Plan</w:t>
      </w:r>
      <w:r w:rsidR="007F1966" w:rsidRPr="003F1A42">
        <w:rPr>
          <w:rFonts w:asciiTheme="majorHAnsi" w:hAnsiTheme="majorHAnsi" w:cstheme="majorHAnsi"/>
          <w:sz w:val="24"/>
          <w:szCs w:val="24"/>
        </w:rPr>
        <w:t>. Final project selection will be determined once an evaluation using identified selection criteria is completed.   Project selection may change due to sudden or urgent needs that can arise through</w:t>
      </w:r>
      <w:r w:rsidR="001B05E2">
        <w:rPr>
          <w:rFonts w:asciiTheme="majorHAnsi" w:hAnsiTheme="majorHAnsi" w:cstheme="majorHAnsi"/>
          <w:sz w:val="24"/>
          <w:szCs w:val="24"/>
        </w:rPr>
        <w:t>out</w:t>
      </w:r>
      <w:r w:rsidR="007F1966" w:rsidRPr="003F1A42">
        <w:rPr>
          <w:rFonts w:asciiTheme="majorHAnsi" w:hAnsiTheme="majorHAnsi" w:cstheme="majorHAnsi"/>
          <w:sz w:val="24"/>
          <w:szCs w:val="24"/>
        </w:rPr>
        <w:t xml:space="preserve"> the school year.</w:t>
      </w:r>
      <w:r w:rsidR="00B47970" w:rsidRPr="003F1A42">
        <w:rPr>
          <w:rFonts w:asciiTheme="majorHAnsi" w:hAnsiTheme="majorHAnsi" w:cstheme="majorHAnsi"/>
          <w:sz w:val="24"/>
          <w:szCs w:val="24"/>
        </w:rPr>
        <w:t xml:space="preserve">  </w:t>
      </w:r>
      <w:r w:rsidR="008D3E9D" w:rsidRPr="003F1A42">
        <w:rPr>
          <w:rFonts w:asciiTheme="majorHAnsi" w:hAnsiTheme="majorHAnsi" w:cstheme="majorHAnsi"/>
          <w:sz w:val="24"/>
          <w:szCs w:val="24"/>
        </w:rPr>
        <w:t>The criteria used for evaluation includes:</w:t>
      </w:r>
    </w:p>
    <w:p w14:paraId="66498FF6" w14:textId="2F7096FA" w:rsidR="008D3E9D" w:rsidRPr="003F1A42" w:rsidRDefault="008D3E9D" w:rsidP="0085202B">
      <w:pPr>
        <w:pStyle w:val="NoSpacing"/>
        <w:numPr>
          <w:ilvl w:val="0"/>
          <w:numId w:val="40"/>
        </w:numPr>
        <w:rPr>
          <w:rFonts w:asciiTheme="majorHAnsi" w:eastAsia="Times New Roman" w:hAnsiTheme="majorHAnsi" w:cstheme="majorHAnsi"/>
          <w:sz w:val="24"/>
          <w:szCs w:val="24"/>
        </w:rPr>
      </w:pPr>
      <w:r w:rsidRPr="003F1A42">
        <w:rPr>
          <w:rFonts w:asciiTheme="majorHAnsi" w:eastAsia="Times New Roman" w:hAnsiTheme="majorHAnsi" w:cstheme="majorHAnsi"/>
          <w:sz w:val="24"/>
          <w:szCs w:val="24"/>
        </w:rPr>
        <w:t>Health and Safety factors</w:t>
      </w:r>
    </w:p>
    <w:p w14:paraId="2F24D020" w14:textId="77777777" w:rsidR="008D3E9D" w:rsidRPr="003F1A42" w:rsidRDefault="008D3E9D" w:rsidP="0085202B">
      <w:pPr>
        <w:pStyle w:val="NoSpacing"/>
        <w:numPr>
          <w:ilvl w:val="0"/>
          <w:numId w:val="40"/>
        </w:numPr>
        <w:rPr>
          <w:rFonts w:asciiTheme="majorHAnsi" w:eastAsia="Times New Roman" w:hAnsiTheme="majorHAnsi" w:cstheme="majorHAnsi"/>
          <w:sz w:val="24"/>
          <w:szCs w:val="24"/>
        </w:rPr>
      </w:pPr>
      <w:r w:rsidRPr="003F1A42">
        <w:rPr>
          <w:rFonts w:asciiTheme="majorHAnsi" w:eastAsia="Times New Roman" w:hAnsiTheme="majorHAnsi" w:cstheme="majorHAnsi"/>
          <w:sz w:val="24"/>
          <w:szCs w:val="24"/>
        </w:rPr>
        <w:t>Life cycle of asset as determined by Ministry audits and VFA software</w:t>
      </w:r>
    </w:p>
    <w:p w14:paraId="32511A7E" w14:textId="77777777" w:rsidR="008D3E9D" w:rsidRPr="003F1A42" w:rsidRDefault="008D3E9D" w:rsidP="0085202B">
      <w:pPr>
        <w:pStyle w:val="NoSpacing"/>
        <w:numPr>
          <w:ilvl w:val="0"/>
          <w:numId w:val="40"/>
        </w:numPr>
        <w:rPr>
          <w:rFonts w:asciiTheme="majorHAnsi" w:eastAsia="Times New Roman" w:hAnsiTheme="majorHAnsi" w:cstheme="majorHAnsi"/>
          <w:sz w:val="24"/>
          <w:szCs w:val="24"/>
        </w:rPr>
      </w:pPr>
      <w:r w:rsidRPr="003F1A42">
        <w:rPr>
          <w:rFonts w:asciiTheme="majorHAnsi" w:eastAsia="Times New Roman" w:hAnsiTheme="majorHAnsi" w:cstheme="majorHAnsi"/>
          <w:sz w:val="24"/>
          <w:szCs w:val="24"/>
        </w:rPr>
        <w:lastRenderedPageBreak/>
        <w:t>Historical maintenance records</w:t>
      </w:r>
    </w:p>
    <w:p w14:paraId="6C721675" w14:textId="77777777" w:rsidR="008D3E9D" w:rsidRPr="003F1A42" w:rsidRDefault="008D3E9D" w:rsidP="0085202B">
      <w:pPr>
        <w:pStyle w:val="NoSpacing"/>
        <w:numPr>
          <w:ilvl w:val="0"/>
          <w:numId w:val="40"/>
        </w:numPr>
        <w:rPr>
          <w:rFonts w:asciiTheme="majorHAnsi" w:eastAsia="Times New Roman" w:hAnsiTheme="majorHAnsi" w:cstheme="majorHAnsi"/>
          <w:sz w:val="24"/>
          <w:szCs w:val="24"/>
        </w:rPr>
      </w:pPr>
      <w:r w:rsidRPr="003F1A42">
        <w:rPr>
          <w:rFonts w:asciiTheme="majorHAnsi" w:eastAsia="Times New Roman" w:hAnsiTheme="majorHAnsi" w:cstheme="majorHAnsi"/>
          <w:sz w:val="24"/>
          <w:szCs w:val="24"/>
        </w:rPr>
        <w:t>Programming requirements of the school</w:t>
      </w:r>
    </w:p>
    <w:p w14:paraId="6FD479AB" w14:textId="77777777" w:rsidR="008D3E9D" w:rsidRPr="003F1A42" w:rsidRDefault="008D3E9D" w:rsidP="0085202B">
      <w:pPr>
        <w:pStyle w:val="NoSpacing"/>
        <w:numPr>
          <w:ilvl w:val="0"/>
          <w:numId w:val="40"/>
        </w:numPr>
        <w:rPr>
          <w:rFonts w:asciiTheme="majorHAnsi" w:eastAsia="Times New Roman" w:hAnsiTheme="majorHAnsi" w:cstheme="majorHAnsi"/>
          <w:sz w:val="24"/>
          <w:szCs w:val="24"/>
        </w:rPr>
      </w:pPr>
      <w:r w:rsidRPr="003F1A42">
        <w:rPr>
          <w:rFonts w:asciiTheme="majorHAnsi" w:eastAsia="Times New Roman" w:hAnsiTheme="majorHAnsi" w:cstheme="majorHAnsi"/>
          <w:sz w:val="24"/>
          <w:szCs w:val="24"/>
        </w:rPr>
        <w:t>Energy efficiency of the asset</w:t>
      </w:r>
    </w:p>
    <w:p w14:paraId="454C7601" w14:textId="77777777" w:rsidR="008D3E9D" w:rsidRPr="003F1A42" w:rsidRDefault="008D3E9D" w:rsidP="0085202B">
      <w:pPr>
        <w:pStyle w:val="NoSpacing"/>
        <w:numPr>
          <w:ilvl w:val="0"/>
          <w:numId w:val="40"/>
        </w:numPr>
        <w:rPr>
          <w:rFonts w:asciiTheme="majorHAnsi" w:eastAsia="Times New Roman" w:hAnsiTheme="majorHAnsi" w:cstheme="majorHAnsi"/>
          <w:sz w:val="24"/>
          <w:szCs w:val="24"/>
        </w:rPr>
      </w:pPr>
      <w:r w:rsidRPr="003F1A42">
        <w:rPr>
          <w:rFonts w:asciiTheme="majorHAnsi" w:eastAsia="Times New Roman" w:hAnsiTheme="majorHAnsi" w:cstheme="majorHAnsi"/>
          <w:sz w:val="24"/>
          <w:szCs w:val="24"/>
        </w:rPr>
        <w:t>AODA compliance</w:t>
      </w:r>
    </w:p>
    <w:p w14:paraId="422B0B9E" w14:textId="4DF210D8" w:rsidR="008D3E9D" w:rsidRPr="003F1A42" w:rsidRDefault="008D3E9D" w:rsidP="008D3E9D">
      <w:pPr>
        <w:pStyle w:val="NoSpacing"/>
        <w:rPr>
          <w:rFonts w:asciiTheme="majorHAnsi" w:hAnsiTheme="majorHAnsi" w:cstheme="majorHAnsi"/>
          <w:sz w:val="24"/>
          <w:szCs w:val="24"/>
        </w:rPr>
      </w:pPr>
      <w:r w:rsidRPr="003F1A42">
        <w:rPr>
          <w:rFonts w:asciiTheme="majorHAnsi" w:hAnsiTheme="majorHAnsi" w:cstheme="majorHAnsi"/>
          <w:sz w:val="24"/>
          <w:szCs w:val="24"/>
        </w:rPr>
        <w:t>In addition to these evaluations, we also utilize a decision</w:t>
      </w:r>
      <w:r w:rsidR="00B47970" w:rsidRPr="003F1A42">
        <w:rPr>
          <w:rFonts w:asciiTheme="majorHAnsi" w:hAnsiTheme="majorHAnsi" w:cstheme="majorHAnsi"/>
          <w:sz w:val="24"/>
          <w:szCs w:val="24"/>
        </w:rPr>
        <w:t>-</w:t>
      </w:r>
      <w:r w:rsidRPr="003F1A42">
        <w:rPr>
          <w:rFonts w:asciiTheme="majorHAnsi" w:hAnsiTheme="majorHAnsi" w:cstheme="majorHAnsi"/>
          <w:sz w:val="24"/>
          <w:szCs w:val="24"/>
        </w:rPr>
        <w:t xml:space="preserve">making matrix in establishing project priorities.  A decision- making matrix called MVP (Multi Variable Priority) has been implemented to ensure that project evaluation includes additional factors that are important to programming and occupants.  As </w:t>
      </w:r>
      <w:r w:rsidR="001B05E2">
        <w:rPr>
          <w:rFonts w:asciiTheme="majorHAnsi" w:hAnsiTheme="majorHAnsi" w:cstheme="majorHAnsi"/>
          <w:sz w:val="24"/>
          <w:szCs w:val="24"/>
        </w:rPr>
        <w:t>p</w:t>
      </w:r>
      <w:r w:rsidRPr="003F1A42">
        <w:rPr>
          <w:rFonts w:asciiTheme="majorHAnsi" w:hAnsiTheme="majorHAnsi" w:cstheme="majorHAnsi"/>
          <w:sz w:val="24"/>
          <w:szCs w:val="24"/>
        </w:rPr>
        <w:t>art of the implementation of the matrix, a working group consisting of Superintendents, Principals, Finance and Facilities was established.  The results of the working group was to develop the criteria and associated weightings that the matrix would used in identifying projects for consideration.  The following items are the evaluation criteria developed by the working group to assist in identifying capital projects:</w:t>
      </w:r>
    </w:p>
    <w:p w14:paraId="0869735C" w14:textId="77777777" w:rsidR="008D3E9D" w:rsidRPr="003F1A42" w:rsidRDefault="008D3E9D" w:rsidP="0085202B">
      <w:pPr>
        <w:pStyle w:val="NoSpacing"/>
        <w:numPr>
          <w:ilvl w:val="0"/>
          <w:numId w:val="41"/>
        </w:numPr>
        <w:rPr>
          <w:rFonts w:asciiTheme="majorHAnsi" w:hAnsiTheme="majorHAnsi" w:cstheme="majorHAnsi"/>
          <w:sz w:val="24"/>
          <w:szCs w:val="24"/>
        </w:rPr>
      </w:pPr>
      <w:bookmarkStart w:id="21" w:name="_Hlk69230903"/>
      <w:r w:rsidRPr="003F1A42">
        <w:rPr>
          <w:rFonts w:asciiTheme="majorHAnsi" w:hAnsiTheme="majorHAnsi" w:cstheme="majorHAnsi"/>
          <w:sz w:val="24"/>
          <w:szCs w:val="24"/>
        </w:rPr>
        <w:t>Environmental factors</w:t>
      </w:r>
    </w:p>
    <w:p w14:paraId="507B446C" w14:textId="77777777" w:rsidR="008D3E9D" w:rsidRPr="003F1A42" w:rsidRDefault="008D3E9D" w:rsidP="0085202B">
      <w:pPr>
        <w:pStyle w:val="NoSpacing"/>
        <w:numPr>
          <w:ilvl w:val="0"/>
          <w:numId w:val="41"/>
        </w:numPr>
        <w:rPr>
          <w:rFonts w:asciiTheme="majorHAnsi" w:hAnsiTheme="majorHAnsi" w:cstheme="majorHAnsi"/>
          <w:sz w:val="24"/>
          <w:szCs w:val="24"/>
        </w:rPr>
      </w:pPr>
      <w:r w:rsidRPr="003F1A42">
        <w:rPr>
          <w:rFonts w:asciiTheme="majorHAnsi" w:hAnsiTheme="majorHAnsi" w:cstheme="majorHAnsi"/>
          <w:sz w:val="24"/>
          <w:szCs w:val="24"/>
        </w:rPr>
        <w:t>Energy Utilization</w:t>
      </w:r>
    </w:p>
    <w:p w14:paraId="23FCBF53" w14:textId="77777777" w:rsidR="008D3E9D" w:rsidRPr="003F1A42" w:rsidRDefault="008D3E9D" w:rsidP="0085202B">
      <w:pPr>
        <w:pStyle w:val="NoSpacing"/>
        <w:numPr>
          <w:ilvl w:val="0"/>
          <w:numId w:val="41"/>
        </w:numPr>
        <w:rPr>
          <w:rFonts w:asciiTheme="majorHAnsi" w:hAnsiTheme="majorHAnsi" w:cstheme="majorHAnsi"/>
          <w:sz w:val="24"/>
          <w:szCs w:val="24"/>
        </w:rPr>
      </w:pPr>
      <w:r w:rsidRPr="003F1A42">
        <w:rPr>
          <w:rFonts w:asciiTheme="majorHAnsi" w:hAnsiTheme="majorHAnsi" w:cstheme="majorHAnsi"/>
          <w:sz w:val="24"/>
          <w:szCs w:val="24"/>
        </w:rPr>
        <w:t>Condition</w:t>
      </w:r>
    </w:p>
    <w:p w14:paraId="32448FB2" w14:textId="77777777" w:rsidR="008D3E9D" w:rsidRPr="003F1A42" w:rsidRDefault="008D3E9D" w:rsidP="0085202B">
      <w:pPr>
        <w:pStyle w:val="NoSpacing"/>
        <w:numPr>
          <w:ilvl w:val="0"/>
          <w:numId w:val="41"/>
        </w:numPr>
        <w:rPr>
          <w:rFonts w:asciiTheme="majorHAnsi" w:hAnsiTheme="majorHAnsi" w:cstheme="majorHAnsi"/>
          <w:sz w:val="24"/>
          <w:szCs w:val="24"/>
        </w:rPr>
      </w:pPr>
      <w:r w:rsidRPr="003F1A42">
        <w:rPr>
          <w:rFonts w:asciiTheme="majorHAnsi" w:hAnsiTheme="majorHAnsi" w:cstheme="majorHAnsi"/>
          <w:sz w:val="24"/>
          <w:szCs w:val="24"/>
        </w:rPr>
        <w:t>Consequence of Failure</w:t>
      </w:r>
    </w:p>
    <w:p w14:paraId="0B497084" w14:textId="77777777" w:rsidR="008D3E9D" w:rsidRPr="003F1A42" w:rsidRDefault="008D3E9D" w:rsidP="0085202B">
      <w:pPr>
        <w:pStyle w:val="NoSpacing"/>
        <w:numPr>
          <w:ilvl w:val="0"/>
          <w:numId w:val="41"/>
        </w:numPr>
        <w:rPr>
          <w:rFonts w:asciiTheme="majorHAnsi" w:hAnsiTheme="majorHAnsi" w:cstheme="majorHAnsi"/>
          <w:sz w:val="24"/>
          <w:szCs w:val="24"/>
        </w:rPr>
      </w:pPr>
      <w:r w:rsidRPr="003F1A42">
        <w:rPr>
          <w:rFonts w:asciiTheme="majorHAnsi" w:hAnsiTheme="majorHAnsi" w:cstheme="majorHAnsi"/>
          <w:sz w:val="24"/>
          <w:szCs w:val="24"/>
        </w:rPr>
        <w:t>Impact to end users</w:t>
      </w:r>
    </w:p>
    <w:p w14:paraId="1B6E2B0F" w14:textId="3A88302D" w:rsidR="008D3E9D" w:rsidRPr="00676D63" w:rsidRDefault="008D3E9D" w:rsidP="0085202B">
      <w:pPr>
        <w:pStyle w:val="NoSpacing"/>
        <w:numPr>
          <w:ilvl w:val="0"/>
          <w:numId w:val="41"/>
        </w:numPr>
        <w:rPr>
          <w:rFonts w:asciiTheme="majorHAnsi" w:hAnsiTheme="majorHAnsi" w:cstheme="majorHAnsi"/>
          <w:sz w:val="24"/>
          <w:szCs w:val="24"/>
        </w:rPr>
      </w:pPr>
      <w:r w:rsidRPr="00676D63">
        <w:rPr>
          <w:rFonts w:asciiTheme="majorHAnsi" w:hAnsiTheme="majorHAnsi" w:cstheme="majorHAnsi"/>
          <w:sz w:val="24"/>
          <w:szCs w:val="24"/>
        </w:rPr>
        <w:t>Level of Regulation</w:t>
      </w:r>
    </w:p>
    <w:bookmarkEnd w:id="21"/>
    <w:p w14:paraId="6C768D47" w14:textId="77777777" w:rsidR="008D3E9D" w:rsidRPr="003F1A42" w:rsidRDefault="008D3E9D" w:rsidP="008D3E9D">
      <w:pPr>
        <w:pStyle w:val="NoSpacing"/>
        <w:rPr>
          <w:rFonts w:asciiTheme="majorHAnsi" w:hAnsiTheme="majorHAnsi" w:cstheme="majorHAnsi"/>
          <w:sz w:val="24"/>
          <w:szCs w:val="24"/>
        </w:rPr>
      </w:pPr>
      <w:r w:rsidRPr="003F1A42">
        <w:rPr>
          <w:rFonts w:asciiTheme="majorHAnsi" w:hAnsiTheme="majorHAnsi" w:cstheme="majorHAnsi"/>
          <w:sz w:val="24"/>
          <w:szCs w:val="24"/>
        </w:rPr>
        <w:t>By applying these factors and their associated weightings against the renewal requirements found in VFA, we can establish a rating system that helps support project selection based on factors identified as being important to the occupants.</w:t>
      </w:r>
    </w:p>
    <w:p w14:paraId="1B16CACA" w14:textId="77777777" w:rsidR="008D3E9D" w:rsidRPr="003F1A42" w:rsidRDefault="008D3E9D" w:rsidP="008D3E9D">
      <w:pPr>
        <w:pStyle w:val="NoSpacing"/>
        <w:rPr>
          <w:rFonts w:asciiTheme="majorHAnsi" w:eastAsiaTheme="minorHAnsi" w:hAnsiTheme="majorHAnsi" w:cstheme="majorHAnsi"/>
          <w:sz w:val="24"/>
          <w:szCs w:val="24"/>
        </w:rPr>
      </w:pPr>
    </w:p>
    <w:p w14:paraId="546E73BC" w14:textId="77777777" w:rsidR="008D3E9D" w:rsidRPr="003F1A42" w:rsidRDefault="008D3E9D" w:rsidP="008D3E9D">
      <w:pPr>
        <w:pStyle w:val="NoSpacing"/>
        <w:rPr>
          <w:rFonts w:asciiTheme="majorHAnsi" w:eastAsiaTheme="minorEastAsia" w:hAnsiTheme="majorHAnsi" w:cstheme="majorHAnsi"/>
          <w:sz w:val="24"/>
          <w:szCs w:val="24"/>
        </w:rPr>
      </w:pPr>
      <w:r w:rsidRPr="003F1A42">
        <w:rPr>
          <w:rFonts w:asciiTheme="majorHAnsi" w:hAnsiTheme="majorHAnsi" w:cstheme="majorHAnsi"/>
          <w:sz w:val="24"/>
          <w:szCs w:val="24"/>
        </w:rPr>
        <w:t>The MVP decision making matrix provides each project requirement with a score and the higher the overall score the more urgent the priority.  This data is used along with the evaluation criteria to select capital projects ensuring that requirements are planned in an appropriate sequence.</w:t>
      </w:r>
    </w:p>
    <w:p w14:paraId="2C5AD0A9" w14:textId="77777777" w:rsidR="008D3E9D" w:rsidRPr="003F1A42" w:rsidRDefault="008D3E9D" w:rsidP="008D3E9D">
      <w:pPr>
        <w:pStyle w:val="NoSpacing"/>
        <w:rPr>
          <w:rFonts w:asciiTheme="majorHAnsi" w:hAnsiTheme="majorHAnsi" w:cstheme="majorHAnsi"/>
          <w:sz w:val="24"/>
          <w:szCs w:val="24"/>
        </w:rPr>
      </w:pPr>
    </w:p>
    <w:p w14:paraId="10B48C6E" w14:textId="5DE7F719" w:rsidR="00A94F3A" w:rsidRPr="003F1A42" w:rsidRDefault="008D3E9D" w:rsidP="008D3E9D">
      <w:pPr>
        <w:pStyle w:val="NoSpacing"/>
        <w:rPr>
          <w:rFonts w:asciiTheme="majorHAnsi" w:hAnsiTheme="majorHAnsi" w:cstheme="majorHAnsi"/>
          <w:sz w:val="24"/>
          <w:szCs w:val="24"/>
        </w:rPr>
      </w:pPr>
      <w:r w:rsidRPr="003F1A42">
        <w:rPr>
          <w:rFonts w:asciiTheme="majorHAnsi" w:hAnsiTheme="majorHAnsi" w:cstheme="majorHAnsi"/>
          <w:sz w:val="24"/>
          <w:szCs w:val="24"/>
        </w:rPr>
        <w:t xml:space="preserve">We are working to ensure the best outcomes in capital planning by working to improve data integrity within VFA, conducting detailed studies on building </w:t>
      </w:r>
      <w:r w:rsidR="000E7475" w:rsidRPr="003F1A42">
        <w:rPr>
          <w:rFonts w:asciiTheme="majorHAnsi" w:hAnsiTheme="majorHAnsi" w:cstheme="majorHAnsi"/>
          <w:sz w:val="24"/>
          <w:szCs w:val="24"/>
        </w:rPr>
        <w:t>s</w:t>
      </w:r>
      <w:r w:rsidRPr="003F1A42">
        <w:rPr>
          <w:rFonts w:asciiTheme="majorHAnsi" w:hAnsiTheme="majorHAnsi" w:cstheme="majorHAnsi"/>
          <w:sz w:val="24"/>
          <w:szCs w:val="24"/>
        </w:rPr>
        <w:t>ystems to ensure effective and timely system replacement, ensuring detailed maintenance programs to extend system life cycles and using our MVP decision making matrix to ensure factors other than life cycle are considered in project selection. These strategies are all reflected in the projects included in the 5-year capital plan.</w:t>
      </w:r>
    </w:p>
    <w:p w14:paraId="7011ACEC" w14:textId="77777777" w:rsidR="00220112" w:rsidRDefault="00220112" w:rsidP="002536BC">
      <w:pPr>
        <w:pStyle w:val="NoSpacing"/>
      </w:pPr>
    </w:p>
    <w:p w14:paraId="2FFD16F6" w14:textId="77777777" w:rsidR="00F84BCE" w:rsidRDefault="00F84BCE" w:rsidP="007F1966">
      <w:pPr>
        <w:rPr>
          <w:rFonts w:asciiTheme="majorHAnsi" w:hAnsiTheme="majorHAnsi" w:cstheme="majorHAnsi"/>
          <w:b/>
          <w:bCs/>
          <w:sz w:val="24"/>
          <w:szCs w:val="24"/>
        </w:rPr>
      </w:pPr>
    </w:p>
    <w:p w14:paraId="4A2F12DF" w14:textId="77777777" w:rsidR="00F84BCE" w:rsidRDefault="00F84BCE" w:rsidP="007F1966">
      <w:pPr>
        <w:rPr>
          <w:rFonts w:asciiTheme="majorHAnsi" w:hAnsiTheme="majorHAnsi" w:cstheme="majorHAnsi"/>
          <w:b/>
          <w:bCs/>
          <w:sz w:val="24"/>
          <w:szCs w:val="24"/>
        </w:rPr>
      </w:pPr>
    </w:p>
    <w:p w14:paraId="46397408" w14:textId="77777777" w:rsidR="00F84BCE" w:rsidRDefault="00F84BCE" w:rsidP="007F1966">
      <w:pPr>
        <w:rPr>
          <w:rFonts w:asciiTheme="majorHAnsi" w:hAnsiTheme="majorHAnsi" w:cstheme="majorHAnsi"/>
          <w:b/>
          <w:bCs/>
          <w:sz w:val="24"/>
          <w:szCs w:val="24"/>
        </w:rPr>
      </w:pPr>
    </w:p>
    <w:p w14:paraId="1E89C409" w14:textId="77777777" w:rsidR="00F84BCE" w:rsidRDefault="00F84BCE" w:rsidP="007F1966">
      <w:pPr>
        <w:rPr>
          <w:rFonts w:asciiTheme="majorHAnsi" w:hAnsiTheme="majorHAnsi" w:cstheme="majorHAnsi"/>
          <w:b/>
          <w:bCs/>
          <w:sz w:val="24"/>
          <w:szCs w:val="24"/>
        </w:rPr>
      </w:pPr>
    </w:p>
    <w:p w14:paraId="738E32AA" w14:textId="77777777" w:rsidR="00F84BCE" w:rsidRDefault="00F84BCE" w:rsidP="007F1966">
      <w:pPr>
        <w:rPr>
          <w:rFonts w:asciiTheme="majorHAnsi" w:hAnsiTheme="majorHAnsi" w:cstheme="majorHAnsi"/>
          <w:b/>
          <w:bCs/>
          <w:sz w:val="24"/>
          <w:szCs w:val="24"/>
        </w:rPr>
      </w:pPr>
    </w:p>
    <w:p w14:paraId="303856FB" w14:textId="77777777" w:rsidR="00F84BCE" w:rsidRDefault="00F84BCE" w:rsidP="007F1966">
      <w:pPr>
        <w:rPr>
          <w:rFonts w:asciiTheme="majorHAnsi" w:hAnsiTheme="majorHAnsi" w:cstheme="majorHAnsi"/>
          <w:b/>
          <w:bCs/>
          <w:sz w:val="24"/>
          <w:szCs w:val="24"/>
        </w:rPr>
      </w:pPr>
    </w:p>
    <w:p w14:paraId="386B4031" w14:textId="313A9A25" w:rsidR="007F1966" w:rsidRPr="002536BC" w:rsidRDefault="0085202B" w:rsidP="007F1966">
      <w:pPr>
        <w:rPr>
          <w:rFonts w:asciiTheme="majorHAnsi" w:hAnsiTheme="majorHAnsi" w:cstheme="majorHAnsi"/>
          <w:b/>
          <w:bCs/>
          <w:sz w:val="24"/>
          <w:szCs w:val="24"/>
        </w:rPr>
      </w:pPr>
      <w:r w:rsidRPr="002536BC">
        <w:rPr>
          <w:rFonts w:asciiTheme="majorHAnsi" w:hAnsiTheme="majorHAnsi" w:cstheme="majorHAnsi"/>
          <w:b/>
          <w:bCs/>
          <w:sz w:val="24"/>
          <w:szCs w:val="24"/>
        </w:rPr>
        <w:lastRenderedPageBreak/>
        <w:t>C</w:t>
      </w:r>
      <w:r w:rsidR="007F1966" w:rsidRPr="002536BC">
        <w:rPr>
          <w:rFonts w:asciiTheme="majorHAnsi" w:hAnsiTheme="majorHAnsi" w:cstheme="majorHAnsi"/>
          <w:b/>
          <w:bCs/>
          <w:sz w:val="24"/>
          <w:szCs w:val="24"/>
        </w:rPr>
        <w:t>apital Projects Being Considered for 202</w:t>
      </w:r>
      <w:r w:rsidR="00C342CE" w:rsidRPr="002536BC">
        <w:rPr>
          <w:rFonts w:asciiTheme="majorHAnsi" w:hAnsiTheme="majorHAnsi" w:cstheme="majorHAnsi"/>
          <w:b/>
          <w:bCs/>
          <w:sz w:val="24"/>
          <w:szCs w:val="24"/>
        </w:rPr>
        <w:t>2</w:t>
      </w:r>
      <w:r w:rsidR="007F1966" w:rsidRPr="002536BC">
        <w:rPr>
          <w:rFonts w:asciiTheme="majorHAnsi" w:hAnsiTheme="majorHAnsi" w:cstheme="majorHAnsi"/>
          <w:b/>
          <w:bCs/>
          <w:sz w:val="24"/>
          <w:szCs w:val="24"/>
        </w:rPr>
        <w:t>/2</w:t>
      </w:r>
      <w:r w:rsidR="00C342CE" w:rsidRPr="002536BC">
        <w:rPr>
          <w:rFonts w:asciiTheme="majorHAnsi" w:hAnsiTheme="majorHAnsi" w:cstheme="majorHAnsi"/>
          <w:b/>
          <w:bCs/>
          <w:sz w:val="24"/>
          <w:szCs w:val="24"/>
        </w:rPr>
        <w:t>3</w:t>
      </w:r>
    </w:p>
    <w:p w14:paraId="058A5EFD" w14:textId="77777777" w:rsidR="007F1966" w:rsidRPr="003F1A42" w:rsidRDefault="007F1966" w:rsidP="007F1966">
      <w:pPr>
        <w:rPr>
          <w:rFonts w:asciiTheme="majorHAnsi" w:hAnsiTheme="majorHAnsi" w:cstheme="majorHAnsi"/>
          <w:sz w:val="24"/>
          <w:szCs w:val="24"/>
        </w:rPr>
      </w:pPr>
      <w:r w:rsidRPr="003F1A42">
        <w:rPr>
          <w:rFonts w:asciiTheme="majorHAnsi" w:hAnsiTheme="majorHAnsi" w:cstheme="majorHAnsi"/>
          <w:sz w:val="24"/>
          <w:szCs w:val="24"/>
        </w:rPr>
        <w:t xml:space="preserve">(Budgets are high-level estimates and will be updated once scope of work is finalized)  </w:t>
      </w:r>
    </w:p>
    <w:tbl>
      <w:tblPr>
        <w:tblStyle w:val="TableGrid"/>
        <w:tblW w:w="0" w:type="auto"/>
        <w:tblLook w:val="04A0" w:firstRow="1" w:lastRow="0" w:firstColumn="1" w:lastColumn="0" w:noHBand="0" w:noVBand="1"/>
      </w:tblPr>
      <w:tblGrid>
        <w:gridCol w:w="1411"/>
        <w:gridCol w:w="2024"/>
        <w:gridCol w:w="4613"/>
        <w:gridCol w:w="1302"/>
      </w:tblGrid>
      <w:tr w:rsidR="008B4447" w:rsidRPr="008B4447" w14:paraId="1054B8A4" w14:textId="77777777" w:rsidTr="00FD07A5">
        <w:trPr>
          <w:trHeight w:val="330"/>
        </w:trPr>
        <w:tc>
          <w:tcPr>
            <w:tcW w:w="1411" w:type="dxa"/>
            <w:noWrap/>
            <w:hideMark/>
          </w:tcPr>
          <w:p w14:paraId="3E4CFDAD" w14:textId="77777777" w:rsidR="008B4447" w:rsidRPr="008B4447" w:rsidRDefault="008B4447">
            <w:pPr>
              <w:rPr>
                <w:rFonts w:asciiTheme="majorHAnsi" w:eastAsia="Calibri" w:hAnsiTheme="majorHAnsi" w:cstheme="majorHAnsi"/>
                <w:b/>
                <w:bCs/>
              </w:rPr>
            </w:pPr>
            <w:r w:rsidRPr="008B4447">
              <w:rPr>
                <w:rFonts w:asciiTheme="majorHAnsi" w:eastAsia="Calibri" w:hAnsiTheme="majorHAnsi" w:cstheme="majorHAnsi"/>
                <w:b/>
                <w:bCs/>
              </w:rPr>
              <w:t>Site</w:t>
            </w:r>
          </w:p>
        </w:tc>
        <w:tc>
          <w:tcPr>
            <w:tcW w:w="2024" w:type="dxa"/>
            <w:noWrap/>
            <w:hideMark/>
          </w:tcPr>
          <w:p w14:paraId="2AACB515" w14:textId="77777777" w:rsidR="008B4447" w:rsidRPr="008B4447" w:rsidRDefault="008B4447">
            <w:pPr>
              <w:rPr>
                <w:rFonts w:asciiTheme="majorHAnsi" w:eastAsia="Calibri" w:hAnsiTheme="majorHAnsi" w:cstheme="majorHAnsi"/>
                <w:b/>
                <w:bCs/>
              </w:rPr>
            </w:pPr>
            <w:r w:rsidRPr="008B4447">
              <w:rPr>
                <w:rFonts w:asciiTheme="majorHAnsi" w:eastAsia="Calibri" w:hAnsiTheme="majorHAnsi" w:cstheme="majorHAnsi"/>
                <w:b/>
                <w:bCs/>
              </w:rPr>
              <w:t>Project Title</w:t>
            </w:r>
          </w:p>
        </w:tc>
        <w:tc>
          <w:tcPr>
            <w:tcW w:w="4613" w:type="dxa"/>
            <w:noWrap/>
            <w:hideMark/>
          </w:tcPr>
          <w:p w14:paraId="3EABBB4C" w14:textId="5AA044CB" w:rsidR="008B4447" w:rsidRPr="008B4447" w:rsidRDefault="008B4447">
            <w:pPr>
              <w:rPr>
                <w:rFonts w:asciiTheme="majorHAnsi" w:eastAsia="Calibri" w:hAnsiTheme="majorHAnsi" w:cstheme="majorHAnsi"/>
                <w:b/>
                <w:bCs/>
              </w:rPr>
            </w:pPr>
            <w:r w:rsidRPr="008B4447">
              <w:rPr>
                <w:rFonts w:asciiTheme="majorHAnsi" w:eastAsia="Calibri" w:hAnsiTheme="majorHAnsi" w:cstheme="majorHAnsi"/>
                <w:b/>
                <w:bCs/>
              </w:rPr>
              <w:t>Detail/Requirem</w:t>
            </w:r>
            <w:r>
              <w:rPr>
                <w:rFonts w:asciiTheme="majorHAnsi" w:eastAsia="Calibri" w:hAnsiTheme="majorHAnsi" w:cstheme="majorHAnsi"/>
                <w:b/>
                <w:bCs/>
              </w:rPr>
              <w:t>e</w:t>
            </w:r>
            <w:r w:rsidRPr="008B4447">
              <w:rPr>
                <w:rFonts w:asciiTheme="majorHAnsi" w:eastAsia="Calibri" w:hAnsiTheme="majorHAnsi" w:cstheme="majorHAnsi"/>
                <w:b/>
                <w:bCs/>
              </w:rPr>
              <w:t>nts</w:t>
            </w:r>
          </w:p>
        </w:tc>
        <w:tc>
          <w:tcPr>
            <w:tcW w:w="1302" w:type="dxa"/>
            <w:noWrap/>
            <w:hideMark/>
          </w:tcPr>
          <w:p w14:paraId="5D3D3630" w14:textId="77777777" w:rsidR="008B4447" w:rsidRPr="008B4447" w:rsidRDefault="008B4447" w:rsidP="008B4447">
            <w:pPr>
              <w:rPr>
                <w:rFonts w:asciiTheme="majorHAnsi" w:eastAsia="Calibri" w:hAnsiTheme="majorHAnsi" w:cstheme="majorHAnsi"/>
                <w:b/>
                <w:bCs/>
              </w:rPr>
            </w:pPr>
            <w:r w:rsidRPr="008B4447">
              <w:rPr>
                <w:rFonts w:asciiTheme="majorHAnsi" w:eastAsia="Calibri" w:hAnsiTheme="majorHAnsi" w:cstheme="majorHAnsi"/>
                <w:b/>
                <w:bCs/>
              </w:rPr>
              <w:t>Estimate</w:t>
            </w:r>
          </w:p>
        </w:tc>
      </w:tr>
      <w:tr w:rsidR="008B4447" w:rsidRPr="008B4447" w14:paraId="3732638E" w14:textId="77777777" w:rsidTr="00FD07A5">
        <w:trPr>
          <w:trHeight w:val="315"/>
        </w:trPr>
        <w:tc>
          <w:tcPr>
            <w:tcW w:w="1411" w:type="dxa"/>
            <w:noWrap/>
            <w:hideMark/>
          </w:tcPr>
          <w:p w14:paraId="1D3C1FF5" w14:textId="77777777" w:rsidR="008B4447" w:rsidRPr="008B4447" w:rsidRDefault="008B4447">
            <w:pPr>
              <w:rPr>
                <w:rFonts w:asciiTheme="majorHAnsi" w:eastAsia="Calibri" w:hAnsiTheme="majorHAnsi" w:cstheme="majorHAnsi"/>
              </w:rPr>
            </w:pPr>
            <w:r w:rsidRPr="008B4447">
              <w:rPr>
                <w:rFonts w:asciiTheme="majorHAnsi" w:eastAsia="Calibri" w:hAnsiTheme="majorHAnsi" w:cstheme="majorHAnsi"/>
              </w:rPr>
              <w:t>SCC</w:t>
            </w:r>
          </w:p>
        </w:tc>
        <w:tc>
          <w:tcPr>
            <w:tcW w:w="2024" w:type="dxa"/>
            <w:noWrap/>
            <w:hideMark/>
          </w:tcPr>
          <w:p w14:paraId="26A2AC35" w14:textId="77777777" w:rsidR="008B4447" w:rsidRPr="008B4447" w:rsidRDefault="008B4447">
            <w:pPr>
              <w:rPr>
                <w:rFonts w:asciiTheme="majorHAnsi" w:eastAsia="Calibri" w:hAnsiTheme="majorHAnsi" w:cstheme="majorHAnsi"/>
              </w:rPr>
            </w:pPr>
            <w:r w:rsidRPr="008B4447">
              <w:rPr>
                <w:rFonts w:asciiTheme="majorHAnsi" w:eastAsia="Calibri" w:hAnsiTheme="majorHAnsi" w:cstheme="majorHAnsi"/>
              </w:rPr>
              <w:t>Building Envelope Upgrades</w:t>
            </w:r>
          </w:p>
        </w:tc>
        <w:tc>
          <w:tcPr>
            <w:tcW w:w="4613" w:type="dxa"/>
            <w:noWrap/>
            <w:hideMark/>
          </w:tcPr>
          <w:p w14:paraId="49B53B8E" w14:textId="5EC57DDB" w:rsidR="008B4447" w:rsidRPr="008B4447" w:rsidRDefault="008B4447">
            <w:pPr>
              <w:rPr>
                <w:rFonts w:asciiTheme="majorHAnsi" w:eastAsia="Calibri" w:hAnsiTheme="majorHAnsi" w:cstheme="majorHAnsi"/>
              </w:rPr>
            </w:pPr>
            <w:r w:rsidRPr="008B4447">
              <w:rPr>
                <w:rFonts w:asciiTheme="majorHAnsi" w:eastAsia="Calibri" w:hAnsiTheme="majorHAnsi" w:cstheme="majorHAnsi"/>
              </w:rPr>
              <w:t>Window replacement first floor</w:t>
            </w:r>
            <w:r w:rsidR="00884EFB">
              <w:rPr>
                <w:rFonts w:asciiTheme="majorHAnsi" w:eastAsia="Calibri" w:hAnsiTheme="majorHAnsi" w:cstheme="majorHAnsi"/>
              </w:rPr>
              <w:t xml:space="preserve"> and exterior door replacements</w:t>
            </w:r>
          </w:p>
        </w:tc>
        <w:tc>
          <w:tcPr>
            <w:tcW w:w="1302" w:type="dxa"/>
            <w:noWrap/>
            <w:hideMark/>
          </w:tcPr>
          <w:p w14:paraId="48BA894E" w14:textId="77777777" w:rsidR="008B4447" w:rsidRPr="008B4447" w:rsidRDefault="008B4447" w:rsidP="008B4447">
            <w:pPr>
              <w:rPr>
                <w:rFonts w:asciiTheme="majorHAnsi" w:eastAsia="Calibri" w:hAnsiTheme="majorHAnsi" w:cstheme="majorHAnsi"/>
              </w:rPr>
            </w:pPr>
            <w:r w:rsidRPr="008B4447">
              <w:rPr>
                <w:rFonts w:asciiTheme="majorHAnsi" w:eastAsia="Calibri" w:hAnsiTheme="majorHAnsi" w:cstheme="majorHAnsi"/>
              </w:rPr>
              <w:t>$800,000</w:t>
            </w:r>
          </w:p>
        </w:tc>
      </w:tr>
      <w:tr w:rsidR="008B4447" w:rsidRPr="008B4447" w14:paraId="3B36C66D" w14:textId="77777777" w:rsidTr="00FD07A5">
        <w:trPr>
          <w:trHeight w:val="315"/>
        </w:trPr>
        <w:tc>
          <w:tcPr>
            <w:tcW w:w="1411" w:type="dxa"/>
            <w:noWrap/>
            <w:hideMark/>
          </w:tcPr>
          <w:p w14:paraId="25AB7BEA" w14:textId="77777777" w:rsidR="008B4447" w:rsidRPr="008B4447" w:rsidRDefault="008B4447">
            <w:pPr>
              <w:rPr>
                <w:rFonts w:asciiTheme="majorHAnsi" w:eastAsia="Calibri" w:hAnsiTheme="majorHAnsi" w:cstheme="majorHAnsi"/>
              </w:rPr>
            </w:pPr>
            <w:r w:rsidRPr="008B4447">
              <w:rPr>
                <w:rFonts w:asciiTheme="majorHAnsi" w:eastAsia="Calibri" w:hAnsiTheme="majorHAnsi" w:cstheme="majorHAnsi"/>
              </w:rPr>
              <w:t>St John</w:t>
            </w:r>
          </w:p>
        </w:tc>
        <w:tc>
          <w:tcPr>
            <w:tcW w:w="2024" w:type="dxa"/>
            <w:noWrap/>
            <w:hideMark/>
          </w:tcPr>
          <w:p w14:paraId="3EBD8E9C" w14:textId="77777777" w:rsidR="008B4447" w:rsidRPr="008B4447" w:rsidRDefault="008B4447">
            <w:pPr>
              <w:rPr>
                <w:rFonts w:asciiTheme="majorHAnsi" w:eastAsia="Calibri" w:hAnsiTheme="majorHAnsi" w:cstheme="majorHAnsi"/>
              </w:rPr>
            </w:pPr>
            <w:r w:rsidRPr="008B4447">
              <w:rPr>
                <w:rFonts w:asciiTheme="majorHAnsi" w:eastAsia="Calibri" w:hAnsiTheme="majorHAnsi" w:cstheme="majorHAnsi"/>
              </w:rPr>
              <w:t>Interior Renovations</w:t>
            </w:r>
          </w:p>
        </w:tc>
        <w:tc>
          <w:tcPr>
            <w:tcW w:w="4613" w:type="dxa"/>
            <w:noWrap/>
            <w:hideMark/>
          </w:tcPr>
          <w:p w14:paraId="0914BEE8" w14:textId="44077DB8" w:rsidR="008B4447" w:rsidRPr="008B4447" w:rsidRDefault="008B4447">
            <w:pPr>
              <w:rPr>
                <w:rFonts w:asciiTheme="majorHAnsi" w:eastAsia="Calibri" w:hAnsiTheme="majorHAnsi" w:cstheme="majorHAnsi"/>
              </w:rPr>
            </w:pPr>
            <w:r w:rsidRPr="008B4447">
              <w:rPr>
                <w:rFonts w:asciiTheme="majorHAnsi" w:eastAsia="Calibri" w:hAnsiTheme="majorHAnsi" w:cstheme="majorHAnsi"/>
              </w:rPr>
              <w:t>AODA ramps and washroom upgrades</w:t>
            </w:r>
            <w:r w:rsidR="00B9243D">
              <w:rPr>
                <w:rFonts w:asciiTheme="majorHAnsi" w:eastAsia="Calibri" w:hAnsiTheme="majorHAnsi" w:cstheme="majorHAnsi"/>
              </w:rPr>
              <w:t xml:space="preserve"> as well as</w:t>
            </w:r>
            <w:r w:rsidR="00873687">
              <w:rPr>
                <w:rFonts w:asciiTheme="majorHAnsi" w:eastAsia="Calibri" w:hAnsiTheme="majorHAnsi" w:cstheme="majorHAnsi"/>
              </w:rPr>
              <w:t xml:space="preserve"> modernizing of several classrooms which includes enhanced technology</w:t>
            </w:r>
          </w:p>
        </w:tc>
        <w:tc>
          <w:tcPr>
            <w:tcW w:w="1302" w:type="dxa"/>
            <w:noWrap/>
            <w:hideMark/>
          </w:tcPr>
          <w:p w14:paraId="7BEC81A6" w14:textId="77777777" w:rsidR="008B4447" w:rsidRPr="008B4447" w:rsidRDefault="008B4447" w:rsidP="008B4447">
            <w:pPr>
              <w:rPr>
                <w:rFonts w:asciiTheme="majorHAnsi" w:eastAsia="Calibri" w:hAnsiTheme="majorHAnsi" w:cstheme="majorHAnsi"/>
              </w:rPr>
            </w:pPr>
            <w:r w:rsidRPr="008B4447">
              <w:rPr>
                <w:rFonts w:asciiTheme="majorHAnsi" w:eastAsia="Calibri" w:hAnsiTheme="majorHAnsi" w:cstheme="majorHAnsi"/>
              </w:rPr>
              <w:t>$1,500,000</w:t>
            </w:r>
          </w:p>
        </w:tc>
      </w:tr>
      <w:tr w:rsidR="008B4447" w:rsidRPr="008B4447" w14:paraId="534026B7" w14:textId="77777777" w:rsidTr="00FD07A5">
        <w:trPr>
          <w:trHeight w:val="315"/>
        </w:trPr>
        <w:tc>
          <w:tcPr>
            <w:tcW w:w="1411" w:type="dxa"/>
            <w:noWrap/>
            <w:hideMark/>
          </w:tcPr>
          <w:p w14:paraId="306A4BE6" w14:textId="77777777" w:rsidR="008B4447" w:rsidRPr="008B4447" w:rsidRDefault="008B4447">
            <w:pPr>
              <w:rPr>
                <w:rFonts w:asciiTheme="majorHAnsi" w:eastAsia="Calibri" w:hAnsiTheme="majorHAnsi" w:cstheme="majorHAnsi"/>
              </w:rPr>
            </w:pPr>
            <w:r w:rsidRPr="008B4447">
              <w:rPr>
                <w:rFonts w:asciiTheme="majorHAnsi" w:eastAsia="Calibri" w:hAnsiTheme="majorHAnsi" w:cstheme="majorHAnsi"/>
              </w:rPr>
              <w:t>MMA</w:t>
            </w:r>
          </w:p>
        </w:tc>
        <w:tc>
          <w:tcPr>
            <w:tcW w:w="2024" w:type="dxa"/>
            <w:noWrap/>
            <w:hideMark/>
          </w:tcPr>
          <w:p w14:paraId="78EE7352" w14:textId="77777777" w:rsidR="008B4447" w:rsidRPr="008B4447" w:rsidRDefault="008B4447">
            <w:pPr>
              <w:rPr>
                <w:rFonts w:asciiTheme="majorHAnsi" w:eastAsia="Calibri" w:hAnsiTheme="majorHAnsi" w:cstheme="majorHAnsi"/>
              </w:rPr>
            </w:pPr>
            <w:r w:rsidRPr="008B4447">
              <w:rPr>
                <w:rFonts w:asciiTheme="majorHAnsi" w:eastAsia="Calibri" w:hAnsiTheme="majorHAnsi" w:cstheme="majorHAnsi"/>
              </w:rPr>
              <w:t>Grounds</w:t>
            </w:r>
          </w:p>
        </w:tc>
        <w:tc>
          <w:tcPr>
            <w:tcW w:w="4613" w:type="dxa"/>
            <w:noWrap/>
            <w:hideMark/>
          </w:tcPr>
          <w:p w14:paraId="6ECAF68A" w14:textId="77777777" w:rsidR="008B4447" w:rsidRPr="008B4447" w:rsidRDefault="008B4447">
            <w:pPr>
              <w:rPr>
                <w:rFonts w:asciiTheme="majorHAnsi" w:eastAsia="Calibri" w:hAnsiTheme="majorHAnsi" w:cstheme="majorHAnsi"/>
              </w:rPr>
            </w:pPr>
            <w:r w:rsidRPr="008B4447">
              <w:rPr>
                <w:rFonts w:asciiTheme="majorHAnsi" w:eastAsia="Calibri" w:hAnsiTheme="majorHAnsi" w:cstheme="majorHAnsi"/>
              </w:rPr>
              <w:t>Outdoor learning space, retaining wall, foundation repairs</w:t>
            </w:r>
          </w:p>
        </w:tc>
        <w:tc>
          <w:tcPr>
            <w:tcW w:w="1302" w:type="dxa"/>
            <w:noWrap/>
            <w:hideMark/>
          </w:tcPr>
          <w:p w14:paraId="7B60FFBE" w14:textId="77777777" w:rsidR="008B4447" w:rsidRPr="008B4447" w:rsidRDefault="008B4447" w:rsidP="008B4447">
            <w:pPr>
              <w:rPr>
                <w:rFonts w:asciiTheme="majorHAnsi" w:eastAsia="Calibri" w:hAnsiTheme="majorHAnsi" w:cstheme="majorHAnsi"/>
              </w:rPr>
            </w:pPr>
            <w:r w:rsidRPr="008B4447">
              <w:rPr>
                <w:rFonts w:asciiTheme="majorHAnsi" w:eastAsia="Calibri" w:hAnsiTheme="majorHAnsi" w:cstheme="majorHAnsi"/>
              </w:rPr>
              <w:t>$400,000</w:t>
            </w:r>
          </w:p>
        </w:tc>
      </w:tr>
      <w:tr w:rsidR="008B4447" w:rsidRPr="008B4447" w14:paraId="0C6A1CF9" w14:textId="77777777" w:rsidTr="00FD07A5">
        <w:trPr>
          <w:trHeight w:val="315"/>
        </w:trPr>
        <w:tc>
          <w:tcPr>
            <w:tcW w:w="1411" w:type="dxa"/>
            <w:noWrap/>
            <w:hideMark/>
          </w:tcPr>
          <w:p w14:paraId="5F1A1CB6" w14:textId="77777777" w:rsidR="008B4447" w:rsidRPr="008B4447" w:rsidRDefault="008B4447">
            <w:pPr>
              <w:rPr>
                <w:rFonts w:asciiTheme="majorHAnsi" w:eastAsia="Calibri" w:hAnsiTheme="majorHAnsi" w:cstheme="majorHAnsi"/>
              </w:rPr>
            </w:pPr>
            <w:r w:rsidRPr="008B4447">
              <w:rPr>
                <w:rFonts w:asciiTheme="majorHAnsi" w:eastAsia="Calibri" w:hAnsiTheme="majorHAnsi" w:cstheme="majorHAnsi"/>
              </w:rPr>
              <w:t xml:space="preserve">MMA </w:t>
            </w:r>
          </w:p>
        </w:tc>
        <w:tc>
          <w:tcPr>
            <w:tcW w:w="2024" w:type="dxa"/>
            <w:noWrap/>
            <w:hideMark/>
          </w:tcPr>
          <w:p w14:paraId="07CC50FB" w14:textId="77777777" w:rsidR="008B4447" w:rsidRPr="008B4447" w:rsidRDefault="008B4447">
            <w:pPr>
              <w:rPr>
                <w:rFonts w:asciiTheme="majorHAnsi" w:eastAsia="Calibri" w:hAnsiTheme="majorHAnsi" w:cstheme="majorHAnsi"/>
              </w:rPr>
            </w:pPr>
            <w:r w:rsidRPr="008B4447">
              <w:rPr>
                <w:rFonts w:asciiTheme="majorHAnsi" w:eastAsia="Calibri" w:hAnsiTheme="majorHAnsi" w:cstheme="majorHAnsi"/>
              </w:rPr>
              <w:t>Interior Renovations</w:t>
            </w:r>
          </w:p>
        </w:tc>
        <w:tc>
          <w:tcPr>
            <w:tcW w:w="4613" w:type="dxa"/>
            <w:noWrap/>
            <w:hideMark/>
          </w:tcPr>
          <w:p w14:paraId="444B5F03" w14:textId="77777777" w:rsidR="008B4447" w:rsidRPr="008B4447" w:rsidRDefault="008B4447">
            <w:pPr>
              <w:rPr>
                <w:rFonts w:asciiTheme="majorHAnsi" w:eastAsia="Calibri" w:hAnsiTheme="majorHAnsi" w:cstheme="majorHAnsi"/>
              </w:rPr>
            </w:pPr>
            <w:r w:rsidRPr="008B4447">
              <w:rPr>
                <w:rFonts w:asciiTheme="majorHAnsi" w:eastAsia="Calibri" w:hAnsiTheme="majorHAnsi" w:cstheme="majorHAnsi"/>
              </w:rPr>
              <w:t>AODA elevator installation and ramp</w:t>
            </w:r>
          </w:p>
        </w:tc>
        <w:tc>
          <w:tcPr>
            <w:tcW w:w="1302" w:type="dxa"/>
            <w:noWrap/>
            <w:hideMark/>
          </w:tcPr>
          <w:p w14:paraId="1A88C7EA" w14:textId="77777777" w:rsidR="008B4447" w:rsidRPr="008B4447" w:rsidRDefault="008B4447" w:rsidP="008B4447">
            <w:pPr>
              <w:rPr>
                <w:rFonts w:asciiTheme="majorHAnsi" w:eastAsia="Calibri" w:hAnsiTheme="majorHAnsi" w:cstheme="majorHAnsi"/>
              </w:rPr>
            </w:pPr>
            <w:r w:rsidRPr="008B4447">
              <w:rPr>
                <w:rFonts w:asciiTheme="majorHAnsi" w:eastAsia="Calibri" w:hAnsiTheme="majorHAnsi" w:cstheme="majorHAnsi"/>
              </w:rPr>
              <w:t>$1,300,000</w:t>
            </w:r>
          </w:p>
        </w:tc>
      </w:tr>
      <w:tr w:rsidR="008B4447" w:rsidRPr="008B4447" w14:paraId="291A65F6" w14:textId="77777777" w:rsidTr="00FD07A5">
        <w:trPr>
          <w:trHeight w:val="315"/>
        </w:trPr>
        <w:tc>
          <w:tcPr>
            <w:tcW w:w="1411" w:type="dxa"/>
            <w:noWrap/>
            <w:hideMark/>
          </w:tcPr>
          <w:p w14:paraId="5DE64270" w14:textId="77777777" w:rsidR="008B4447" w:rsidRPr="008B4447" w:rsidRDefault="008B4447">
            <w:pPr>
              <w:rPr>
                <w:rFonts w:asciiTheme="majorHAnsi" w:eastAsia="Calibri" w:hAnsiTheme="majorHAnsi" w:cstheme="majorHAnsi"/>
              </w:rPr>
            </w:pPr>
            <w:r w:rsidRPr="008B4447">
              <w:rPr>
                <w:rFonts w:asciiTheme="majorHAnsi" w:eastAsia="Calibri" w:hAnsiTheme="majorHAnsi" w:cstheme="majorHAnsi"/>
              </w:rPr>
              <w:t>St James</w:t>
            </w:r>
          </w:p>
        </w:tc>
        <w:tc>
          <w:tcPr>
            <w:tcW w:w="2024" w:type="dxa"/>
            <w:noWrap/>
            <w:hideMark/>
          </w:tcPr>
          <w:p w14:paraId="658FB58D" w14:textId="77777777" w:rsidR="008B4447" w:rsidRPr="008B4447" w:rsidRDefault="008B4447">
            <w:pPr>
              <w:rPr>
                <w:rFonts w:asciiTheme="majorHAnsi" w:eastAsia="Calibri" w:hAnsiTheme="majorHAnsi" w:cstheme="majorHAnsi"/>
              </w:rPr>
            </w:pPr>
            <w:r w:rsidRPr="008B4447">
              <w:rPr>
                <w:rFonts w:asciiTheme="majorHAnsi" w:eastAsia="Calibri" w:hAnsiTheme="majorHAnsi" w:cstheme="majorHAnsi"/>
              </w:rPr>
              <w:t>Ventilation Upgrade</w:t>
            </w:r>
          </w:p>
        </w:tc>
        <w:tc>
          <w:tcPr>
            <w:tcW w:w="4613" w:type="dxa"/>
            <w:noWrap/>
            <w:hideMark/>
          </w:tcPr>
          <w:p w14:paraId="5534CD85" w14:textId="77777777" w:rsidR="008B4447" w:rsidRPr="008B4447" w:rsidRDefault="008B4447">
            <w:pPr>
              <w:rPr>
                <w:rFonts w:asciiTheme="majorHAnsi" w:eastAsia="Calibri" w:hAnsiTheme="majorHAnsi" w:cstheme="majorHAnsi"/>
              </w:rPr>
            </w:pPr>
            <w:r w:rsidRPr="008B4447">
              <w:rPr>
                <w:rFonts w:asciiTheme="majorHAnsi" w:eastAsia="Calibri" w:hAnsiTheme="majorHAnsi" w:cstheme="majorHAnsi"/>
              </w:rPr>
              <w:t>To replace unit ventilators in gym with central HVAC unit</w:t>
            </w:r>
          </w:p>
        </w:tc>
        <w:tc>
          <w:tcPr>
            <w:tcW w:w="1302" w:type="dxa"/>
            <w:noWrap/>
            <w:hideMark/>
          </w:tcPr>
          <w:p w14:paraId="65BD4559" w14:textId="77777777" w:rsidR="008B4447" w:rsidRPr="008B4447" w:rsidRDefault="008B4447" w:rsidP="008B4447">
            <w:pPr>
              <w:rPr>
                <w:rFonts w:asciiTheme="majorHAnsi" w:eastAsia="Calibri" w:hAnsiTheme="majorHAnsi" w:cstheme="majorHAnsi"/>
              </w:rPr>
            </w:pPr>
            <w:r w:rsidRPr="008B4447">
              <w:rPr>
                <w:rFonts w:asciiTheme="majorHAnsi" w:eastAsia="Calibri" w:hAnsiTheme="majorHAnsi" w:cstheme="majorHAnsi"/>
              </w:rPr>
              <w:t>$500,000</w:t>
            </w:r>
          </w:p>
        </w:tc>
      </w:tr>
      <w:tr w:rsidR="008B4447" w:rsidRPr="008B4447" w14:paraId="0693CDAD" w14:textId="77777777" w:rsidTr="00FD07A5">
        <w:trPr>
          <w:trHeight w:val="315"/>
        </w:trPr>
        <w:tc>
          <w:tcPr>
            <w:tcW w:w="1411" w:type="dxa"/>
            <w:noWrap/>
            <w:hideMark/>
          </w:tcPr>
          <w:p w14:paraId="74C66728" w14:textId="77777777" w:rsidR="008B4447" w:rsidRPr="008B4447" w:rsidRDefault="008B4447">
            <w:pPr>
              <w:rPr>
                <w:rFonts w:asciiTheme="majorHAnsi" w:eastAsia="Calibri" w:hAnsiTheme="majorHAnsi" w:cstheme="majorHAnsi"/>
              </w:rPr>
            </w:pPr>
            <w:r w:rsidRPr="008B4447">
              <w:rPr>
                <w:rFonts w:asciiTheme="majorHAnsi" w:eastAsia="Calibri" w:hAnsiTheme="majorHAnsi" w:cstheme="majorHAnsi"/>
              </w:rPr>
              <w:t>Holy Trinity</w:t>
            </w:r>
          </w:p>
        </w:tc>
        <w:tc>
          <w:tcPr>
            <w:tcW w:w="2024" w:type="dxa"/>
            <w:noWrap/>
            <w:hideMark/>
          </w:tcPr>
          <w:p w14:paraId="7A704CBC" w14:textId="77777777" w:rsidR="008B4447" w:rsidRPr="008B4447" w:rsidRDefault="008B4447">
            <w:pPr>
              <w:rPr>
                <w:rFonts w:asciiTheme="majorHAnsi" w:eastAsia="Calibri" w:hAnsiTheme="majorHAnsi" w:cstheme="majorHAnsi"/>
              </w:rPr>
            </w:pPr>
            <w:r w:rsidRPr="008B4447">
              <w:rPr>
                <w:rFonts w:asciiTheme="majorHAnsi" w:eastAsia="Calibri" w:hAnsiTheme="majorHAnsi" w:cstheme="majorHAnsi"/>
              </w:rPr>
              <w:t>Interior Renovations</w:t>
            </w:r>
          </w:p>
        </w:tc>
        <w:tc>
          <w:tcPr>
            <w:tcW w:w="4613" w:type="dxa"/>
            <w:noWrap/>
            <w:hideMark/>
          </w:tcPr>
          <w:p w14:paraId="413CB505" w14:textId="77777777" w:rsidR="008B4447" w:rsidRPr="008B4447" w:rsidRDefault="008B4447">
            <w:pPr>
              <w:rPr>
                <w:rFonts w:asciiTheme="majorHAnsi" w:eastAsia="Calibri" w:hAnsiTheme="majorHAnsi" w:cstheme="majorHAnsi"/>
              </w:rPr>
            </w:pPr>
            <w:r w:rsidRPr="008B4447">
              <w:rPr>
                <w:rFonts w:asciiTheme="majorHAnsi" w:eastAsia="Calibri" w:hAnsiTheme="majorHAnsi" w:cstheme="majorHAnsi"/>
              </w:rPr>
              <w:t>Discovery room renovations and washroom expansion</w:t>
            </w:r>
          </w:p>
        </w:tc>
        <w:tc>
          <w:tcPr>
            <w:tcW w:w="1302" w:type="dxa"/>
            <w:noWrap/>
            <w:hideMark/>
          </w:tcPr>
          <w:p w14:paraId="50F949DF" w14:textId="77777777" w:rsidR="008B4447" w:rsidRPr="008B4447" w:rsidRDefault="008B4447" w:rsidP="008B4447">
            <w:pPr>
              <w:rPr>
                <w:rFonts w:asciiTheme="majorHAnsi" w:eastAsia="Calibri" w:hAnsiTheme="majorHAnsi" w:cstheme="majorHAnsi"/>
              </w:rPr>
            </w:pPr>
            <w:r w:rsidRPr="008B4447">
              <w:rPr>
                <w:rFonts w:asciiTheme="majorHAnsi" w:eastAsia="Calibri" w:hAnsiTheme="majorHAnsi" w:cstheme="majorHAnsi"/>
              </w:rPr>
              <w:t>$600,000</w:t>
            </w:r>
          </w:p>
        </w:tc>
      </w:tr>
      <w:tr w:rsidR="008B4447" w:rsidRPr="008B4447" w14:paraId="74F81FEC" w14:textId="77777777" w:rsidTr="00FD07A5">
        <w:trPr>
          <w:trHeight w:val="585"/>
        </w:trPr>
        <w:tc>
          <w:tcPr>
            <w:tcW w:w="1411" w:type="dxa"/>
            <w:noWrap/>
            <w:hideMark/>
          </w:tcPr>
          <w:p w14:paraId="6F461B45" w14:textId="77777777" w:rsidR="008B4447" w:rsidRPr="008B4447" w:rsidRDefault="008B4447">
            <w:pPr>
              <w:rPr>
                <w:rFonts w:asciiTheme="majorHAnsi" w:eastAsia="Calibri" w:hAnsiTheme="majorHAnsi" w:cstheme="majorHAnsi"/>
              </w:rPr>
            </w:pPr>
            <w:r w:rsidRPr="008B4447">
              <w:rPr>
                <w:rFonts w:asciiTheme="majorHAnsi" w:eastAsia="Calibri" w:hAnsiTheme="majorHAnsi" w:cstheme="majorHAnsi"/>
              </w:rPr>
              <w:t>Various Locations</w:t>
            </w:r>
          </w:p>
        </w:tc>
        <w:tc>
          <w:tcPr>
            <w:tcW w:w="2024" w:type="dxa"/>
            <w:noWrap/>
            <w:hideMark/>
          </w:tcPr>
          <w:p w14:paraId="6F911376" w14:textId="77777777" w:rsidR="008B4447" w:rsidRPr="008B4447" w:rsidRDefault="008B4447">
            <w:pPr>
              <w:rPr>
                <w:rFonts w:asciiTheme="majorHAnsi" w:eastAsia="Calibri" w:hAnsiTheme="majorHAnsi" w:cstheme="majorHAnsi"/>
              </w:rPr>
            </w:pPr>
            <w:r w:rsidRPr="008B4447">
              <w:rPr>
                <w:rFonts w:asciiTheme="majorHAnsi" w:eastAsia="Calibri" w:hAnsiTheme="majorHAnsi" w:cstheme="majorHAnsi"/>
              </w:rPr>
              <w:t>Interior Renovations</w:t>
            </w:r>
          </w:p>
        </w:tc>
        <w:tc>
          <w:tcPr>
            <w:tcW w:w="4613" w:type="dxa"/>
            <w:hideMark/>
          </w:tcPr>
          <w:p w14:paraId="2BA47733" w14:textId="77777777" w:rsidR="008B4447" w:rsidRPr="008B4447" w:rsidRDefault="008B4447">
            <w:pPr>
              <w:rPr>
                <w:rFonts w:asciiTheme="majorHAnsi" w:eastAsia="Calibri" w:hAnsiTheme="majorHAnsi" w:cstheme="majorHAnsi"/>
              </w:rPr>
            </w:pPr>
            <w:r w:rsidRPr="008B4447">
              <w:rPr>
                <w:rFonts w:asciiTheme="majorHAnsi" w:eastAsia="Calibri" w:hAnsiTheme="majorHAnsi" w:cstheme="majorHAnsi"/>
              </w:rPr>
              <w:t>To install a universal washroom at BAC, St Benedict, SCC, St Francis, St Joseph, St Paul</w:t>
            </w:r>
          </w:p>
        </w:tc>
        <w:tc>
          <w:tcPr>
            <w:tcW w:w="1302" w:type="dxa"/>
            <w:noWrap/>
            <w:hideMark/>
          </w:tcPr>
          <w:p w14:paraId="5F7DB791" w14:textId="77777777" w:rsidR="008B4447" w:rsidRPr="008B4447" w:rsidRDefault="008B4447" w:rsidP="008B4447">
            <w:pPr>
              <w:rPr>
                <w:rFonts w:asciiTheme="majorHAnsi" w:eastAsia="Calibri" w:hAnsiTheme="majorHAnsi" w:cstheme="majorHAnsi"/>
              </w:rPr>
            </w:pPr>
            <w:r w:rsidRPr="008B4447">
              <w:rPr>
                <w:rFonts w:asciiTheme="majorHAnsi" w:eastAsia="Calibri" w:hAnsiTheme="majorHAnsi" w:cstheme="majorHAnsi"/>
              </w:rPr>
              <w:t>$1,500,000</w:t>
            </w:r>
          </w:p>
        </w:tc>
      </w:tr>
      <w:tr w:rsidR="008B4447" w:rsidRPr="008B4447" w14:paraId="432D38D0" w14:textId="77777777" w:rsidTr="00FD07A5">
        <w:trPr>
          <w:trHeight w:val="330"/>
        </w:trPr>
        <w:tc>
          <w:tcPr>
            <w:tcW w:w="1411" w:type="dxa"/>
            <w:noWrap/>
            <w:hideMark/>
          </w:tcPr>
          <w:p w14:paraId="6DED904D" w14:textId="77777777" w:rsidR="008B4447" w:rsidRPr="008B4447" w:rsidRDefault="008B4447">
            <w:pPr>
              <w:rPr>
                <w:rFonts w:asciiTheme="majorHAnsi" w:eastAsia="Calibri" w:hAnsiTheme="majorHAnsi" w:cstheme="majorHAnsi"/>
                <w:b/>
                <w:bCs/>
              </w:rPr>
            </w:pPr>
            <w:r w:rsidRPr="008B4447">
              <w:rPr>
                <w:rFonts w:asciiTheme="majorHAnsi" w:eastAsia="Calibri" w:hAnsiTheme="majorHAnsi" w:cstheme="majorHAnsi"/>
                <w:b/>
                <w:bCs/>
              </w:rPr>
              <w:t>Total</w:t>
            </w:r>
          </w:p>
        </w:tc>
        <w:tc>
          <w:tcPr>
            <w:tcW w:w="2024" w:type="dxa"/>
            <w:noWrap/>
            <w:hideMark/>
          </w:tcPr>
          <w:p w14:paraId="4DC5C5A5" w14:textId="77777777" w:rsidR="008B4447" w:rsidRPr="008B4447" w:rsidRDefault="008B4447">
            <w:pPr>
              <w:rPr>
                <w:rFonts w:asciiTheme="majorHAnsi" w:eastAsia="Calibri" w:hAnsiTheme="majorHAnsi" w:cstheme="majorHAnsi"/>
                <w:b/>
                <w:bCs/>
              </w:rPr>
            </w:pPr>
            <w:r w:rsidRPr="008B4447">
              <w:rPr>
                <w:rFonts w:asciiTheme="majorHAnsi" w:eastAsia="Calibri" w:hAnsiTheme="majorHAnsi" w:cstheme="majorHAnsi"/>
                <w:b/>
                <w:bCs/>
              </w:rPr>
              <w:t> </w:t>
            </w:r>
          </w:p>
        </w:tc>
        <w:tc>
          <w:tcPr>
            <w:tcW w:w="4613" w:type="dxa"/>
            <w:noWrap/>
            <w:hideMark/>
          </w:tcPr>
          <w:p w14:paraId="373C2588" w14:textId="77777777" w:rsidR="008B4447" w:rsidRPr="008B4447" w:rsidRDefault="008B4447">
            <w:pPr>
              <w:rPr>
                <w:rFonts w:asciiTheme="majorHAnsi" w:eastAsia="Calibri" w:hAnsiTheme="majorHAnsi" w:cstheme="majorHAnsi"/>
                <w:b/>
                <w:bCs/>
              </w:rPr>
            </w:pPr>
            <w:r w:rsidRPr="008B4447">
              <w:rPr>
                <w:rFonts w:asciiTheme="majorHAnsi" w:eastAsia="Calibri" w:hAnsiTheme="majorHAnsi" w:cstheme="majorHAnsi"/>
                <w:b/>
                <w:bCs/>
              </w:rPr>
              <w:t> </w:t>
            </w:r>
          </w:p>
        </w:tc>
        <w:tc>
          <w:tcPr>
            <w:tcW w:w="1302" w:type="dxa"/>
            <w:noWrap/>
            <w:hideMark/>
          </w:tcPr>
          <w:p w14:paraId="19789D0A" w14:textId="77777777" w:rsidR="008B4447" w:rsidRPr="008B4447" w:rsidRDefault="008B4447" w:rsidP="008B4447">
            <w:pPr>
              <w:rPr>
                <w:rFonts w:asciiTheme="majorHAnsi" w:eastAsia="Calibri" w:hAnsiTheme="majorHAnsi" w:cstheme="majorHAnsi"/>
                <w:b/>
                <w:bCs/>
              </w:rPr>
            </w:pPr>
            <w:r w:rsidRPr="008B4447">
              <w:rPr>
                <w:rFonts w:asciiTheme="majorHAnsi" w:eastAsia="Calibri" w:hAnsiTheme="majorHAnsi" w:cstheme="majorHAnsi"/>
                <w:b/>
                <w:bCs/>
              </w:rPr>
              <w:t>$6,600,000</w:t>
            </w:r>
          </w:p>
        </w:tc>
      </w:tr>
    </w:tbl>
    <w:p w14:paraId="7183A06B" w14:textId="1EEEF867" w:rsidR="00263ABB" w:rsidRPr="004A5F2A" w:rsidRDefault="00263ABB" w:rsidP="00D16409">
      <w:pPr>
        <w:rPr>
          <w:lang w:val="en-US"/>
        </w:rPr>
      </w:pPr>
      <w:r w:rsidRPr="00672516">
        <w:rPr>
          <w:rFonts w:asciiTheme="majorHAnsi" w:eastAsia="Calibri" w:hAnsiTheme="majorHAnsi" w:cstheme="majorHAnsi"/>
        </w:rPr>
        <w:br w:type="textWrapping" w:clear="all"/>
      </w:r>
    </w:p>
    <w:sectPr w:rsidR="00263ABB" w:rsidRPr="004A5F2A" w:rsidSect="00B34462">
      <w:headerReference w:type="even" r:id="rId30"/>
      <w:headerReference w:type="default" r:id="rId31"/>
      <w:headerReference w:type="first" r:id="rId32"/>
      <w:type w:val="continuous"/>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F671A" w14:textId="77777777" w:rsidR="005D019C" w:rsidRDefault="005D019C" w:rsidP="00B143F6">
      <w:pPr>
        <w:spacing w:after="0" w:line="240" w:lineRule="auto"/>
      </w:pPr>
      <w:r>
        <w:separator/>
      </w:r>
    </w:p>
  </w:endnote>
  <w:endnote w:type="continuationSeparator" w:id="0">
    <w:p w14:paraId="41A4F097" w14:textId="77777777" w:rsidR="005D019C" w:rsidRDefault="005D019C" w:rsidP="00B1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Lato">
    <w:altName w:val="Segoe UI"/>
    <w:charset w:val="00"/>
    <w:family w:val="swiss"/>
    <w:pitch w:val="variable"/>
    <w:sig w:usb0="E10002FF" w:usb1="5000ECFF" w:usb2="00000021" w:usb3="00000000" w:csb0="0000019F" w:csb1="00000000"/>
  </w:font>
  <w:font w:name="Lato Light">
    <w:altName w:val="Lato Light"/>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w:altName w:val="﷽﷽﷽﷽﷽﷽結袪翿"/>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ACBC" w14:textId="77777777" w:rsidR="00B20E2D" w:rsidRDefault="00B20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127070"/>
      <w:docPartObj>
        <w:docPartGallery w:val="Page Numbers (Bottom of Page)"/>
        <w:docPartUnique/>
      </w:docPartObj>
    </w:sdtPr>
    <w:sdtEndPr>
      <w:rPr>
        <w:color w:val="7F7F7F" w:themeColor="background1" w:themeShade="7F"/>
        <w:spacing w:val="60"/>
      </w:rPr>
    </w:sdtEndPr>
    <w:sdtContent>
      <w:p w14:paraId="62FD0615" w14:textId="39312DE5" w:rsidR="00672516" w:rsidRDefault="006725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22</w:t>
        </w:r>
        <w:r>
          <w:rPr>
            <w:noProof/>
          </w:rPr>
          <w:fldChar w:fldCharType="end"/>
        </w:r>
        <w:r>
          <w:t xml:space="preserve"> | </w:t>
        </w:r>
        <w:r>
          <w:rPr>
            <w:color w:val="7F7F7F" w:themeColor="background1" w:themeShade="7F"/>
            <w:spacing w:val="60"/>
          </w:rPr>
          <w:t>Page</w:t>
        </w:r>
      </w:p>
    </w:sdtContent>
  </w:sdt>
  <w:p w14:paraId="33B0C7F2" w14:textId="77777777" w:rsidR="00672516" w:rsidRDefault="006725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876068"/>
      <w:docPartObj>
        <w:docPartGallery w:val="Page Numbers (Bottom of Page)"/>
        <w:docPartUnique/>
      </w:docPartObj>
    </w:sdtPr>
    <w:sdtEndPr>
      <w:rPr>
        <w:color w:val="7F7F7F" w:themeColor="background1" w:themeShade="7F"/>
        <w:spacing w:val="60"/>
      </w:rPr>
    </w:sdtEndPr>
    <w:sdtContent>
      <w:p w14:paraId="5652C01F" w14:textId="4C378B39" w:rsidR="00672516" w:rsidRDefault="006725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56ECD275" w14:textId="77777777" w:rsidR="00672516" w:rsidRDefault="00672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86D36" w14:textId="77777777" w:rsidR="005D019C" w:rsidRDefault="005D019C" w:rsidP="00B143F6">
      <w:pPr>
        <w:spacing w:after="0" w:line="240" w:lineRule="auto"/>
      </w:pPr>
      <w:r>
        <w:separator/>
      </w:r>
    </w:p>
  </w:footnote>
  <w:footnote w:type="continuationSeparator" w:id="0">
    <w:p w14:paraId="7FA8CE59" w14:textId="77777777" w:rsidR="005D019C" w:rsidRDefault="005D019C" w:rsidP="00B14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974D" w14:textId="77777777" w:rsidR="00B20E2D" w:rsidRDefault="00B20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D1ED" w14:textId="4712647B" w:rsidR="00672516" w:rsidRDefault="00672516">
    <w:pPr>
      <w:pStyle w:val="Header"/>
    </w:pPr>
    <w:r>
      <w:rPr>
        <w:rFonts w:ascii="Arial" w:hAnsi="Arial" w:cs="Arial"/>
        <w:b/>
        <w:noProof/>
        <w:color w:val="000000"/>
        <w:sz w:val="20"/>
        <w:lang w:eastAsia="en-CA"/>
      </w:rPr>
      <w:drawing>
        <wp:anchor distT="0" distB="0" distL="114300" distR="114300" simplePos="0" relativeHeight="251657216" behindDoc="0" locked="0" layoutInCell="1" allowOverlap="1" wp14:anchorId="48ADBBC3" wp14:editId="7F48CF5A">
          <wp:simplePos x="0" y="0"/>
          <wp:positionH relativeFrom="page">
            <wp:posOffset>243205</wp:posOffset>
          </wp:positionH>
          <wp:positionV relativeFrom="page">
            <wp:posOffset>140970</wp:posOffset>
          </wp:positionV>
          <wp:extent cx="1658160" cy="7621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DSB logo FL 4C.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8160" cy="762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4C6F" w14:textId="0703B4CC" w:rsidR="00672516" w:rsidRDefault="006725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F22D" w14:textId="77777777" w:rsidR="00672516" w:rsidRDefault="006725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549912"/>
      <w:docPartObj>
        <w:docPartGallery w:val="Watermarks"/>
        <w:docPartUnique/>
      </w:docPartObj>
    </w:sdtPr>
    <w:sdtEndPr/>
    <w:sdtContent>
      <w:p w14:paraId="1926ED2A" w14:textId="38C71EC4" w:rsidR="00672516" w:rsidRDefault="005D019C">
        <w:pPr>
          <w:ind w:left="360" w:right="360"/>
        </w:pPr>
        <w:r>
          <w:rPr>
            <w:noProof/>
          </w:rPr>
          <w:pict w14:anchorId="7BBB1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left:0;text-align:left;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p w14:paraId="05652A3F" w14:textId="77777777" w:rsidR="00672516" w:rsidRDefault="00672516">
    <w:pPr>
      <w:spacing w:line="2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2679" w14:textId="77777777" w:rsidR="00672516" w:rsidRDefault="00672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56E3"/>
    <w:multiLevelType w:val="hybridMultilevel"/>
    <w:tmpl w:val="FE189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04DA0"/>
    <w:multiLevelType w:val="hybridMultilevel"/>
    <w:tmpl w:val="50CC26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E01FC1"/>
    <w:multiLevelType w:val="hybridMultilevel"/>
    <w:tmpl w:val="D8E45A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410426"/>
    <w:multiLevelType w:val="hybridMultilevel"/>
    <w:tmpl w:val="EB1293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24247E"/>
    <w:multiLevelType w:val="hybridMultilevel"/>
    <w:tmpl w:val="688055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83438F"/>
    <w:multiLevelType w:val="hybridMultilevel"/>
    <w:tmpl w:val="830C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F67EE"/>
    <w:multiLevelType w:val="hybridMultilevel"/>
    <w:tmpl w:val="872C0538"/>
    <w:lvl w:ilvl="0" w:tplc="C2107DE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0FD723B"/>
    <w:multiLevelType w:val="hybridMultilevel"/>
    <w:tmpl w:val="19B20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E66BDD"/>
    <w:multiLevelType w:val="hybridMultilevel"/>
    <w:tmpl w:val="9ACA9C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4F833EC"/>
    <w:multiLevelType w:val="hybridMultilevel"/>
    <w:tmpl w:val="3E9C3B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995853"/>
    <w:multiLevelType w:val="hybridMultilevel"/>
    <w:tmpl w:val="734CC0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681806"/>
    <w:multiLevelType w:val="hybridMultilevel"/>
    <w:tmpl w:val="382A0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415A16"/>
    <w:multiLevelType w:val="hybridMultilevel"/>
    <w:tmpl w:val="81200E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96A1301"/>
    <w:multiLevelType w:val="hybridMultilevel"/>
    <w:tmpl w:val="0ADE41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4813D1"/>
    <w:multiLevelType w:val="hybridMultilevel"/>
    <w:tmpl w:val="D1E841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2E37297B"/>
    <w:multiLevelType w:val="hybridMultilevel"/>
    <w:tmpl w:val="31F04D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5176A60"/>
    <w:multiLevelType w:val="hybridMultilevel"/>
    <w:tmpl w:val="3634E0E4"/>
    <w:lvl w:ilvl="0" w:tplc="548A842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36C13DDD"/>
    <w:multiLevelType w:val="hybridMultilevel"/>
    <w:tmpl w:val="09FC7C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0654AD"/>
    <w:multiLevelType w:val="hybridMultilevel"/>
    <w:tmpl w:val="4B5EA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A309A4"/>
    <w:multiLevelType w:val="hybridMultilevel"/>
    <w:tmpl w:val="FBE06E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CD754CF"/>
    <w:multiLevelType w:val="hybridMultilevel"/>
    <w:tmpl w:val="B858B5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E172723"/>
    <w:multiLevelType w:val="hybridMultilevel"/>
    <w:tmpl w:val="590487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E8A07EA"/>
    <w:multiLevelType w:val="hybridMultilevel"/>
    <w:tmpl w:val="AFECA3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39440FB"/>
    <w:multiLevelType w:val="hybridMultilevel"/>
    <w:tmpl w:val="B9A68C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5017399"/>
    <w:multiLevelType w:val="hybridMultilevel"/>
    <w:tmpl w:val="EBE67454"/>
    <w:lvl w:ilvl="0" w:tplc="CB54E61E">
      <w:start w:val="1"/>
      <w:numFmt w:val="decimal"/>
      <w:lvlText w:val="%1."/>
      <w:lvlJc w:val="left"/>
      <w:pPr>
        <w:ind w:left="720" w:hanging="360"/>
      </w:pPr>
      <w:rPr>
        <w:rFonts w:asciiTheme="majorHAnsi" w:eastAsia="Calibri" w:hAnsiTheme="majorHAnsi" w:cstheme="majorHAns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51618E0"/>
    <w:multiLevelType w:val="hybridMultilevel"/>
    <w:tmpl w:val="93AC985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5C14576"/>
    <w:multiLevelType w:val="hybridMultilevel"/>
    <w:tmpl w:val="A12E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C3B67"/>
    <w:multiLevelType w:val="hybridMultilevel"/>
    <w:tmpl w:val="2DD47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1832C6"/>
    <w:multiLevelType w:val="hybridMultilevel"/>
    <w:tmpl w:val="D05E61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BA83C2A"/>
    <w:multiLevelType w:val="hybridMultilevel"/>
    <w:tmpl w:val="72F21C7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D016FED"/>
    <w:multiLevelType w:val="hybridMultilevel"/>
    <w:tmpl w:val="6A54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B66C51"/>
    <w:multiLevelType w:val="hybridMultilevel"/>
    <w:tmpl w:val="C838C9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49112F7"/>
    <w:multiLevelType w:val="hybridMultilevel"/>
    <w:tmpl w:val="72024C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15:restartNumberingAfterBreak="0">
    <w:nsid w:val="5945689D"/>
    <w:multiLevelType w:val="hybridMultilevel"/>
    <w:tmpl w:val="2B9674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F3E066F"/>
    <w:multiLevelType w:val="hybridMultilevel"/>
    <w:tmpl w:val="15D267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29F3E83"/>
    <w:multiLevelType w:val="hybridMultilevel"/>
    <w:tmpl w:val="E4DC8E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5CB73C8"/>
    <w:multiLevelType w:val="hybridMultilevel"/>
    <w:tmpl w:val="02024A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83B7DBE"/>
    <w:multiLevelType w:val="hybridMultilevel"/>
    <w:tmpl w:val="93AC985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86B2703"/>
    <w:multiLevelType w:val="hybridMultilevel"/>
    <w:tmpl w:val="9CF8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AA5920"/>
    <w:multiLevelType w:val="hybridMultilevel"/>
    <w:tmpl w:val="E026AEDC"/>
    <w:lvl w:ilvl="0" w:tplc="315CE3E8">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0" w15:restartNumberingAfterBreak="0">
    <w:nsid w:val="75080C97"/>
    <w:multiLevelType w:val="hybridMultilevel"/>
    <w:tmpl w:val="0FA8F1E0"/>
    <w:lvl w:ilvl="0" w:tplc="CB54E61E">
      <w:start w:val="1"/>
      <w:numFmt w:val="decimal"/>
      <w:lvlText w:val="%1."/>
      <w:lvlJc w:val="left"/>
      <w:pPr>
        <w:ind w:left="720" w:hanging="360"/>
      </w:pPr>
      <w:rPr>
        <w:rFonts w:asciiTheme="majorHAnsi" w:eastAsia="Calibri" w:hAnsiTheme="majorHAnsi" w:cstheme="majorHAnsi"/>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1" w15:restartNumberingAfterBreak="0">
    <w:nsid w:val="77972DAA"/>
    <w:multiLevelType w:val="hybridMultilevel"/>
    <w:tmpl w:val="FC20ED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2" w15:restartNumberingAfterBreak="0">
    <w:nsid w:val="77F42BB0"/>
    <w:multiLevelType w:val="hybridMultilevel"/>
    <w:tmpl w:val="51E662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913196339">
    <w:abstractNumId w:val="21"/>
  </w:num>
  <w:num w:numId="2" w16cid:durableId="877015381">
    <w:abstractNumId w:val="8"/>
  </w:num>
  <w:num w:numId="3" w16cid:durableId="826437329">
    <w:abstractNumId w:val="17"/>
  </w:num>
  <w:num w:numId="4" w16cid:durableId="863130943">
    <w:abstractNumId w:val="11"/>
  </w:num>
  <w:num w:numId="5" w16cid:durableId="1028529257">
    <w:abstractNumId w:val="31"/>
  </w:num>
  <w:num w:numId="6" w16cid:durableId="1016226426">
    <w:abstractNumId w:val="18"/>
  </w:num>
  <w:num w:numId="7" w16cid:durableId="568734528">
    <w:abstractNumId w:val="0"/>
  </w:num>
  <w:num w:numId="8" w16cid:durableId="943804108">
    <w:abstractNumId w:val="27"/>
  </w:num>
  <w:num w:numId="9" w16cid:durableId="1302341968">
    <w:abstractNumId w:val="7"/>
  </w:num>
  <w:num w:numId="10" w16cid:durableId="1251232475">
    <w:abstractNumId w:val="15"/>
  </w:num>
  <w:num w:numId="11" w16cid:durableId="441612462">
    <w:abstractNumId w:val="23"/>
  </w:num>
  <w:num w:numId="12" w16cid:durableId="1134374516">
    <w:abstractNumId w:val="30"/>
  </w:num>
  <w:num w:numId="13" w16cid:durableId="1846675609">
    <w:abstractNumId w:val="4"/>
  </w:num>
  <w:num w:numId="14" w16cid:durableId="1982929181">
    <w:abstractNumId w:val="14"/>
  </w:num>
  <w:num w:numId="15" w16cid:durableId="1858882936">
    <w:abstractNumId w:val="29"/>
  </w:num>
  <w:num w:numId="16" w16cid:durableId="101192161">
    <w:abstractNumId w:val="16"/>
  </w:num>
  <w:num w:numId="17" w16cid:durableId="1709799265">
    <w:abstractNumId w:val="39"/>
  </w:num>
  <w:num w:numId="18" w16cid:durableId="1628470494">
    <w:abstractNumId w:val="6"/>
  </w:num>
  <w:num w:numId="19" w16cid:durableId="1112287479">
    <w:abstractNumId w:val="38"/>
  </w:num>
  <w:num w:numId="20" w16cid:durableId="1954092373">
    <w:abstractNumId w:val="3"/>
  </w:num>
  <w:num w:numId="21" w16cid:durableId="641427905">
    <w:abstractNumId w:val="26"/>
  </w:num>
  <w:num w:numId="22" w16cid:durableId="1777560800">
    <w:abstractNumId w:val="35"/>
  </w:num>
  <w:num w:numId="23" w16cid:durableId="62147074">
    <w:abstractNumId w:val="12"/>
  </w:num>
  <w:num w:numId="24" w16cid:durableId="1186947414">
    <w:abstractNumId w:val="19"/>
  </w:num>
  <w:num w:numId="25" w16cid:durableId="822507866">
    <w:abstractNumId w:val="13"/>
  </w:num>
  <w:num w:numId="26" w16cid:durableId="990446810">
    <w:abstractNumId w:val="2"/>
  </w:num>
  <w:num w:numId="27" w16cid:durableId="206139792">
    <w:abstractNumId w:val="34"/>
  </w:num>
  <w:num w:numId="28" w16cid:durableId="627011708">
    <w:abstractNumId w:val="33"/>
  </w:num>
  <w:num w:numId="29" w16cid:durableId="1275332577">
    <w:abstractNumId w:val="1"/>
  </w:num>
  <w:num w:numId="30" w16cid:durableId="441652071">
    <w:abstractNumId w:val="25"/>
  </w:num>
  <w:num w:numId="31" w16cid:durableId="2105834928">
    <w:abstractNumId w:val="37"/>
  </w:num>
  <w:num w:numId="32" w16cid:durableId="793138297">
    <w:abstractNumId w:val="28"/>
  </w:num>
  <w:num w:numId="33" w16cid:durableId="273632314">
    <w:abstractNumId w:val="9"/>
  </w:num>
  <w:num w:numId="34" w16cid:durableId="403140824">
    <w:abstractNumId w:val="40"/>
  </w:num>
  <w:num w:numId="35" w16cid:durableId="782311060">
    <w:abstractNumId w:val="40"/>
  </w:num>
  <w:num w:numId="36" w16cid:durableId="1481074086">
    <w:abstractNumId w:val="24"/>
  </w:num>
  <w:num w:numId="37" w16cid:durableId="432094909">
    <w:abstractNumId w:val="32"/>
  </w:num>
  <w:num w:numId="38" w16cid:durableId="1861435120">
    <w:abstractNumId w:val="42"/>
  </w:num>
  <w:num w:numId="39" w16cid:durableId="518547697">
    <w:abstractNumId w:val="41"/>
  </w:num>
  <w:num w:numId="40" w16cid:durableId="998653235">
    <w:abstractNumId w:val="22"/>
  </w:num>
  <w:num w:numId="41" w16cid:durableId="55279165">
    <w:abstractNumId w:val="20"/>
  </w:num>
  <w:num w:numId="42" w16cid:durableId="1771505407">
    <w:abstractNumId w:val="5"/>
  </w:num>
  <w:num w:numId="43" w16cid:durableId="1491140913">
    <w:abstractNumId w:val="36"/>
  </w:num>
  <w:num w:numId="44" w16cid:durableId="21397148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905"/>
    <w:rsid w:val="00001BA2"/>
    <w:rsid w:val="00002134"/>
    <w:rsid w:val="0000214D"/>
    <w:rsid w:val="000026A9"/>
    <w:rsid w:val="0000314C"/>
    <w:rsid w:val="00004CED"/>
    <w:rsid w:val="00007AF2"/>
    <w:rsid w:val="000101C9"/>
    <w:rsid w:val="0001093A"/>
    <w:rsid w:val="00010F8D"/>
    <w:rsid w:val="00012370"/>
    <w:rsid w:val="00013C74"/>
    <w:rsid w:val="0001514E"/>
    <w:rsid w:val="00022167"/>
    <w:rsid w:val="00031467"/>
    <w:rsid w:val="0003340A"/>
    <w:rsid w:val="00033E0E"/>
    <w:rsid w:val="000344B6"/>
    <w:rsid w:val="0003581E"/>
    <w:rsid w:val="00036F6A"/>
    <w:rsid w:val="00042090"/>
    <w:rsid w:val="0004259B"/>
    <w:rsid w:val="000516E3"/>
    <w:rsid w:val="00051BDB"/>
    <w:rsid w:val="00052FCC"/>
    <w:rsid w:val="00053B5A"/>
    <w:rsid w:val="000557CE"/>
    <w:rsid w:val="00055D04"/>
    <w:rsid w:val="00055DC8"/>
    <w:rsid w:val="000578A3"/>
    <w:rsid w:val="000602FE"/>
    <w:rsid w:val="00061122"/>
    <w:rsid w:val="00061307"/>
    <w:rsid w:val="000624DF"/>
    <w:rsid w:val="00064381"/>
    <w:rsid w:val="00066A9C"/>
    <w:rsid w:val="00066CA5"/>
    <w:rsid w:val="0006736E"/>
    <w:rsid w:val="00072BC8"/>
    <w:rsid w:val="00074999"/>
    <w:rsid w:val="0008157F"/>
    <w:rsid w:val="000858B5"/>
    <w:rsid w:val="00085FDD"/>
    <w:rsid w:val="000944B4"/>
    <w:rsid w:val="00095135"/>
    <w:rsid w:val="00096CB2"/>
    <w:rsid w:val="00097238"/>
    <w:rsid w:val="0009784A"/>
    <w:rsid w:val="00097A7B"/>
    <w:rsid w:val="000A2517"/>
    <w:rsid w:val="000A5951"/>
    <w:rsid w:val="000B0186"/>
    <w:rsid w:val="000B0660"/>
    <w:rsid w:val="000B0F4E"/>
    <w:rsid w:val="000B21B2"/>
    <w:rsid w:val="000B2448"/>
    <w:rsid w:val="000B2A05"/>
    <w:rsid w:val="000B41A6"/>
    <w:rsid w:val="000B69C9"/>
    <w:rsid w:val="000C2158"/>
    <w:rsid w:val="000C3BAA"/>
    <w:rsid w:val="000C4C45"/>
    <w:rsid w:val="000C531C"/>
    <w:rsid w:val="000C7C28"/>
    <w:rsid w:val="000D122D"/>
    <w:rsid w:val="000D4E8F"/>
    <w:rsid w:val="000D53DA"/>
    <w:rsid w:val="000D5CE4"/>
    <w:rsid w:val="000D7925"/>
    <w:rsid w:val="000E0649"/>
    <w:rsid w:val="000E0B1B"/>
    <w:rsid w:val="000E1F73"/>
    <w:rsid w:val="000E5FE7"/>
    <w:rsid w:val="000E6E25"/>
    <w:rsid w:val="000E7475"/>
    <w:rsid w:val="000F2BFE"/>
    <w:rsid w:val="000F6396"/>
    <w:rsid w:val="000F7B12"/>
    <w:rsid w:val="00102532"/>
    <w:rsid w:val="00103A9A"/>
    <w:rsid w:val="0010421C"/>
    <w:rsid w:val="00105327"/>
    <w:rsid w:val="0010660E"/>
    <w:rsid w:val="001067E0"/>
    <w:rsid w:val="00110979"/>
    <w:rsid w:val="00111B03"/>
    <w:rsid w:val="00112B3F"/>
    <w:rsid w:val="00116932"/>
    <w:rsid w:val="001179FA"/>
    <w:rsid w:val="0012097F"/>
    <w:rsid w:val="00121327"/>
    <w:rsid w:val="001215F4"/>
    <w:rsid w:val="00122941"/>
    <w:rsid w:val="00123265"/>
    <w:rsid w:val="00123DE8"/>
    <w:rsid w:val="00123FAB"/>
    <w:rsid w:val="00124375"/>
    <w:rsid w:val="00124728"/>
    <w:rsid w:val="00125523"/>
    <w:rsid w:val="00125F0C"/>
    <w:rsid w:val="0012632C"/>
    <w:rsid w:val="00126820"/>
    <w:rsid w:val="00127DC7"/>
    <w:rsid w:val="00130BC8"/>
    <w:rsid w:val="0013140D"/>
    <w:rsid w:val="00133A03"/>
    <w:rsid w:val="0013671C"/>
    <w:rsid w:val="001377A4"/>
    <w:rsid w:val="001416A2"/>
    <w:rsid w:val="00141CC7"/>
    <w:rsid w:val="00142F5B"/>
    <w:rsid w:val="001431C9"/>
    <w:rsid w:val="001431D5"/>
    <w:rsid w:val="00143760"/>
    <w:rsid w:val="001447FF"/>
    <w:rsid w:val="00144954"/>
    <w:rsid w:val="00145FEA"/>
    <w:rsid w:val="00146711"/>
    <w:rsid w:val="001529A5"/>
    <w:rsid w:val="00153941"/>
    <w:rsid w:val="00156A30"/>
    <w:rsid w:val="0016085C"/>
    <w:rsid w:val="00162FC9"/>
    <w:rsid w:val="00163662"/>
    <w:rsid w:val="0016395E"/>
    <w:rsid w:val="00163AEA"/>
    <w:rsid w:val="00165115"/>
    <w:rsid w:val="00165FF5"/>
    <w:rsid w:val="00167258"/>
    <w:rsid w:val="00170F1B"/>
    <w:rsid w:val="00172E5B"/>
    <w:rsid w:val="00174375"/>
    <w:rsid w:val="00175AAC"/>
    <w:rsid w:val="00176580"/>
    <w:rsid w:val="00176FC7"/>
    <w:rsid w:val="0018102B"/>
    <w:rsid w:val="00181711"/>
    <w:rsid w:val="001826EF"/>
    <w:rsid w:val="00186752"/>
    <w:rsid w:val="001904F6"/>
    <w:rsid w:val="001906B2"/>
    <w:rsid w:val="0019389B"/>
    <w:rsid w:val="001942D4"/>
    <w:rsid w:val="0019577A"/>
    <w:rsid w:val="00195C0D"/>
    <w:rsid w:val="00197230"/>
    <w:rsid w:val="001A0B60"/>
    <w:rsid w:val="001A10E4"/>
    <w:rsid w:val="001A176B"/>
    <w:rsid w:val="001A1DFE"/>
    <w:rsid w:val="001A363F"/>
    <w:rsid w:val="001A3B4A"/>
    <w:rsid w:val="001A44EA"/>
    <w:rsid w:val="001A4FBB"/>
    <w:rsid w:val="001B05E2"/>
    <w:rsid w:val="001B269F"/>
    <w:rsid w:val="001B2E6C"/>
    <w:rsid w:val="001B4E60"/>
    <w:rsid w:val="001B6B77"/>
    <w:rsid w:val="001B6FB2"/>
    <w:rsid w:val="001C3174"/>
    <w:rsid w:val="001C3551"/>
    <w:rsid w:val="001C4C9A"/>
    <w:rsid w:val="001C617A"/>
    <w:rsid w:val="001C622B"/>
    <w:rsid w:val="001C6BBC"/>
    <w:rsid w:val="001C722E"/>
    <w:rsid w:val="001C7434"/>
    <w:rsid w:val="001C78F0"/>
    <w:rsid w:val="001D0CB9"/>
    <w:rsid w:val="001D1663"/>
    <w:rsid w:val="001D1697"/>
    <w:rsid w:val="001D1AF0"/>
    <w:rsid w:val="001D390D"/>
    <w:rsid w:val="001D3F64"/>
    <w:rsid w:val="001D5D9F"/>
    <w:rsid w:val="001D7A96"/>
    <w:rsid w:val="001E0961"/>
    <w:rsid w:val="001F00DA"/>
    <w:rsid w:val="001F0116"/>
    <w:rsid w:val="001F05C3"/>
    <w:rsid w:val="001F4FDC"/>
    <w:rsid w:val="001F583B"/>
    <w:rsid w:val="001F5D1A"/>
    <w:rsid w:val="001F6655"/>
    <w:rsid w:val="001F6FFA"/>
    <w:rsid w:val="00200045"/>
    <w:rsid w:val="0020089C"/>
    <w:rsid w:val="0020160B"/>
    <w:rsid w:val="00201EE9"/>
    <w:rsid w:val="002058D0"/>
    <w:rsid w:val="0020615C"/>
    <w:rsid w:val="00207230"/>
    <w:rsid w:val="00213BB0"/>
    <w:rsid w:val="00215A8E"/>
    <w:rsid w:val="00220112"/>
    <w:rsid w:val="00220886"/>
    <w:rsid w:val="00221549"/>
    <w:rsid w:val="00221A4E"/>
    <w:rsid w:val="0022216C"/>
    <w:rsid w:val="002239CA"/>
    <w:rsid w:val="00225109"/>
    <w:rsid w:val="002257A7"/>
    <w:rsid w:val="00226A93"/>
    <w:rsid w:val="00230670"/>
    <w:rsid w:val="00233812"/>
    <w:rsid w:val="00233DD8"/>
    <w:rsid w:val="00234ACF"/>
    <w:rsid w:val="00236331"/>
    <w:rsid w:val="00240442"/>
    <w:rsid w:val="0024057E"/>
    <w:rsid w:val="002418E8"/>
    <w:rsid w:val="002419BB"/>
    <w:rsid w:val="00243424"/>
    <w:rsid w:val="00243B42"/>
    <w:rsid w:val="00247E8D"/>
    <w:rsid w:val="00250FAE"/>
    <w:rsid w:val="002528F9"/>
    <w:rsid w:val="002536BC"/>
    <w:rsid w:val="00255E78"/>
    <w:rsid w:val="00257218"/>
    <w:rsid w:val="002602CE"/>
    <w:rsid w:val="002616C1"/>
    <w:rsid w:val="00261C31"/>
    <w:rsid w:val="00263ABB"/>
    <w:rsid w:val="00264EF4"/>
    <w:rsid w:val="00265AED"/>
    <w:rsid w:val="0026607C"/>
    <w:rsid w:val="00267568"/>
    <w:rsid w:val="00270954"/>
    <w:rsid w:val="00270D87"/>
    <w:rsid w:val="00271173"/>
    <w:rsid w:val="0027191B"/>
    <w:rsid w:val="00272649"/>
    <w:rsid w:val="00274202"/>
    <w:rsid w:val="002770FA"/>
    <w:rsid w:val="002774FA"/>
    <w:rsid w:val="00277A40"/>
    <w:rsid w:val="00277ADA"/>
    <w:rsid w:val="00280FC6"/>
    <w:rsid w:val="00281120"/>
    <w:rsid w:val="0028123F"/>
    <w:rsid w:val="0028186B"/>
    <w:rsid w:val="00282FA0"/>
    <w:rsid w:val="0028594B"/>
    <w:rsid w:val="002861C7"/>
    <w:rsid w:val="00286DF1"/>
    <w:rsid w:val="00290961"/>
    <w:rsid w:val="00290A5F"/>
    <w:rsid w:val="00291A8D"/>
    <w:rsid w:val="00292165"/>
    <w:rsid w:val="00293829"/>
    <w:rsid w:val="0029409E"/>
    <w:rsid w:val="00295ABC"/>
    <w:rsid w:val="00295D53"/>
    <w:rsid w:val="002964A9"/>
    <w:rsid w:val="00296AFF"/>
    <w:rsid w:val="00297114"/>
    <w:rsid w:val="00297884"/>
    <w:rsid w:val="00297D49"/>
    <w:rsid w:val="002A05EA"/>
    <w:rsid w:val="002A3C47"/>
    <w:rsid w:val="002A4F47"/>
    <w:rsid w:val="002A4F75"/>
    <w:rsid w:val="002A60C4"/>
    <w:rsid w:val="002A7A28"/>
    <w:rsid w:val="002A7E18"/>
    <w:rsid w:val="002B0A3A"/>
    <w:rsid w:val="002B29EE"/>
    <w:rsid w:val="002B4763"/>
    <w:rsid w:val="002B5078"/>
    <w:rsid w:val="002B7730"/>
    <w:rsid w:val="002C09B8"/>
    <w:rsid w:val="002C13AF"/>
    <w:rsid w:val="002C2E4E"/>
    <w:rsid w:val="002C3714"/>
    <w:rsid w:val="002C3E74"/>
    <w:rsid w:val="002C5A3D"/>
    <w:rsid w:val="002C69A8"/>
    <w:rsid w:val="002C6C1C"/>
    <w:rsid w:val="002D049A"/>
    <w:rsid w:val="002D23A1"/>
    <w:rsid w:val="002D36A3"/>
    <w:rsid w:val="002D7079"/>
    <w:rsid w:val="002D7972"/>
    <w:rsid w:val="002E0F9A"/>
    <w:rsid w:val="002E2FFD"/>
    <w:rsid w:val="002E476F"/>
    <w:rsid w:val="002E7582"/>
    <w:rsid w:val="002E75A2"/>
    <w:rsid w:val="002F4008"/>
    <w:rsid w:val="002F4C23"/>
    <w:rsid w:val="002F631A"/>
    <w:rsid w:val="002F75CE"/>
    <w:rsid w:val="002F7D5F"/>
    <w:rsid w:val="00300538"/>
    <w:rsid w:val="0030322D"/>
    <w:rsid w:val="00305711"/>
    <w:rsid w:val="0030625A"/>
    <w:rsid w:val="003068D6"/>
    <w:rsid w:val="00310040"/>
    <w:rsid w:val="0031058E"/>
    <w:rsid w:val="00311202"/>
    <w:rsid w:val="0031237C"/>
    <w:rsid w:val="00312A07"/>
    <w:rsid w:val="00312D24"/>
    <w:rsid w:val="00313B0D"/>
    <w:rsid w:val="0031486A"/>
    <w:rsid w:val="003151C6"/>
    <w:rsid w:val="00315901"/>
    <w:rsid w:val="003165F7"/>
    <w:rsid w:val="00317FE7"/>
    <w:rsid w:val="0032001E"/>
    <w:rsid w:val="00323DE9"/>
    <w:rsid w:val="003240AA"/>
    <w:rsid w:val="00330C39"/>
    <w:rsid w:val="00330FCF"/>
    <w:rsid w:val="0033224D"/>
    <w:rsid w:val="00332994"/>
    <w:rsid w:val="00332D61"/>
    <w:rsid w:val="00332F14"/>
    <w:rsid w:val="003343FE"/>
    <w:rsid w:val="00334576"/>
    <w:rsid w:val="00335198"/>
    <w:rsid w:val="00336A23"/>
    <w:rsid w:val="00336EB4"/>
    <w:rsid w:val="003404AF"/>
    <w:rsid w:val="00341AB3"/>
    <w:rsid w:val="0034200F"/>
    <w:rsid w:val="0034425A"/>
    <w:rsid w:val="00344BA1"/>
    <w:rsid w:val="003455E3"/>
    <w:rsid w:val="00345B49"/>
    <w:rsid w:val="003521E7"/>
    <w:rsid w:val="00353889"/>
    <w:rsid w:val="003547EC"/>
    <w:rsid w:val="00357473"/>
    <w:rsid w:val="003578B0"/>
    <w:rsid w:val="00357C72"/>
    <w:rsid w:val="0036273C"/>
    <w:rsid w:val="00363D21"/>
    <w:rsid w:val="00365D82"/>
    <w:rsid w:val="00366225"/>
    <w:rsid w:val="00366747"/>
    <w:rsid w:val="003669D7"/>
    <w:rsid w:val="0036719E"/>
    <w:rsid w:val="00367A27"/>
    <w:rsid w:val="003710C1"/>
    <w:rsid w:val="003719B1"/>
    <w:rsid w:val="003720AF"/>
    <w:rsid w:val="003744FE"/>
    <w:rsid w:val="00375F74"/>
    <w:rsid w:val="003760DC"/>
    <w:rsid w:val="00382BBC"/>
    <w:rsid w:val="00383422"/>
    <w:rsid w:val="00384C25"/>
    <w:rsid w:val="0038648C"/>
    <w:rsid w:val="00386896"/>
    <w:rsid w:val="003911D8"/>
    <w:rsid w:val="0039144E"/>
    <w:rsid w:val="003925E3"/>
    <w:rsid w:val="003927FD"/>
    <w:rsid w:val="00393FA5"/>
    <w:rsid w:val="0039575A"/>
    <w:rsid w:val="00395D9A"/>
    <w:rsid w:val="003965D4"/>
    <w:rsid w:val="003A1E5B"/>
    <w:rsid w:val="003A35A1"/>
    <w:rsid w:val="003A3AE6"/>
    <w:rsid w:val="003A475C"/>
    <w:rsid w:val="003A5389"/>
    <w:rsid w:val="003A57CF"/>
    <w:rsid w:val="003A6765"/>
    <w:rsid w:val="003A6C90"/>
    <w:rsid w:val="003A7176"/>
    <w:rsid w:val="003B1BB2"/>
    <w:rsid w:val="003B2C6D"/>
    <w:rsid w:val="003B3294"/>
    <w:rsid w:val="003B50FF"/>
    <w:rsid w:val="003B6067"/>
    <w:rsid w:val="003C01E3"/>
    <w:rsid w:val="003C05F3"/>
    <w:rsid w:val="003C1E69"/>
    <w:rsid w:val="003C2B10"/>
    <w:rsid w:val="003C3285"/>
    <w:rsid w:val="003C3A17"/>
    <w:rsid w:val="003C435E"/>
    <w:rsid w:val="003C4C45"/>
    <w:rsid w:val="003C7C78"/>
    <w:rsid w:val="003C7EE5"/>
    <w:rsid w:val="003D171D"/>
    <w:rsid w:val="003D21E1"/>
    <w:rsid w:val="003D2B61"/>
    <w:rsid w:val="003D5683"/>
    <w:rsid w:val="003D5D37"/>
    <w:rsid w:val="003D72BA"/>
    <w:rsid w:val="003D795D"/>
    <w:rsid w:val="003E146F"/>
    <w:rsid w:val="003E5F9C"/>
    <w:rsid w:val="003E689C"/>
    <w:rsid w:val="003E72FD"/>
    <w:rsid w:val="003F1011"/>
    <w:rsid w:val="003F1A42"/>
    <w:rsid w:val="003F3A1E"/>
    <w:rsid w:val="003F3E85"/>
    <w:rsid w:val="003F3EEF"/>
    <w:rsid w:val="003F4343"/>
    <w:rsid w:val="003F44E8"/>
    <w:rsid w:val="003F4FCF"/>
    <w:rsid w:val="003F54E9"/>
    <w:rsid w:val="004006E4"/>
    <w:rsid w:val="00402970"/>
    <w:rsid w:val="00403443"/>
    <w:rsid w:val="00404D49"/>
    <w:rsid w:val="00405E9E"/>
    <w:rsid w:val="00406AEC"/>
    <w:rsid w:val="00407B43"/>
    <w:rsid w:val="0041114F"/>
    <w:rsid w:val="0041178D"/>
    <w:rsid w:val="00414BC1"/>
    <w:rsid w:val="00415E31"/>
    <w:rsid w:val="004173B0"/>
    <w:rsid w:val="00420899"/>
    <w:rsid w:val="00420C60"/>
    <w:rsid w:val="00421684"/>
    <w:rsid w:val="004217AB"/>
    <w:rsid w:val="00422792"/>
    <w:rsid w:val="0042400C"/>
    <w:rsid w:val="00424B18"/>
    <w:rsid w:val="00426194"/>
    <w:rsid w:val="00427CB0"/>
    <w:rsid w:val="004317EE"/>
    <w:rsid w:val="00432504"/>
    <w:rsid w:val="00433352"/>
    <w:rsid w:val="00433676"/>
    <w:rsid w:val="00435CE5"/>
    <w:rsid w:val="0043679E"/>
    <w:rsid w:val="0043774F"/>
    <w:rsid w:val="00437C22"/>
    <w:rsid w:val="00437E6A"/>
    <w:rsid w:val="00441C04"/>
    <w:rsid w:val="0044247C"/>
    <w:rsid w:val="0044316C"/>
    <w:rsid w:val="00444276"/>
    <w:rsid w:val="00445A48"/>
    <w:rsid w:val="0044767D"/>
    <w:rsid w:val="00451AED"/>
    <w:rsid w:val="004528A4"/>
    <w:rsid w:val="00452A2D"/>
    <w:rsid w:val="0045354C"/>
    <w:rsid w:val="0045472D"/>
    <w:rsid w:val="00455E35"/>
    <w:rsid w:val="004563CD"/>
    <w:rsid w:val="004568BD"/>
    <w:rsid w:val="00457036"/>
    <w:rsid w:val="00457212"/>
    <w:rsid w:val="004572EA"/>
    <w:rsid w:val="00461806"/>
    <w:rsid w:val="00461B01"/>
    <w:rsid w:val="004620F8"/>
    <w:rsid w:val="00467C9B"/>
    <w:rsid w:val="00471667"/>
    <w:rsid w:val="00471CD9"/>
    <w:rsid w:val="00472261"/>
    <w:rsid w:val="00473C50"/>
    <w:rsid w:val="00473D36"/>
    <w:rsid w:val="004740F3"/>
    <w:rsid w:val="004762B3"/>
    <w:rsid w:val="0047688B"/>
    <w:rsid w:val="004768F9"/>
    <w:rsid w:val="004846EC"/>
    <w:rsid w:val="00484AFF"/>
    <w:rsid w:val="00485A40"/>
    <w:rsid w:val="004874A6"/>
    <w:rsid w:val="00491D40"/>
    <w:rsid w:val="004920CA"/>
    <w:rsid w:val="00492F9C"/>
    <w:rsid w:val="0049374A"/>
    <w:rsid w:val="00495CE1"/>
    <w:rsid w:val="00496290"/>
    <w:rsid w:val="00496EA1"/>
    <w:rsid w:val="00497187"/>
    <w:rsid w:val="004A29BF"/>
    <w:rsid w:val="004A58C9"/>
    <w:rsid w:val="004A5F2A"/>
    <w:rsid w:val="004A622C"/>
    <w:rsid w:val="004A7EDF"/>
    <w:rsid w:val="004B25AA"/>
    <w:rsid w:val="004B2A02"/>
    <w:rsid w:val="004B2B94"/>
    <w:rsid w:val="004B351C"/>
    <w:rsid w:val="004B5C8E"/>
    <w:rsid w:val="004B6E73"/>
    <w:rsid w:val="004C04B9"/>
    <w:rsid w:val="004C17B2"/>
    <w:rsid w:val="004C3C7A"/>
    <w:rsid w:val="004C3CAA"/>
    <w:rsid w:val="004C5CD6"/>
    <w:rsid w:val="004C6E9D"/>
    <w:rsid w:val="004C7494"/>
    <w:rsid w:val="004D056A"/>
    <w:rsid w:val="004D3CA5"/>
    <w:rsid w:val="004D3FE1"/>
    <w:rsid w:val="004D4856"/>
    <w:rsid w:val="004D55CE"/>
    <w:rsid w:val="004D68DD"/>
    <w:rsid w:val="004D7731"/>
    <w:rsid w:val="004E1204"/>
    <w:rsid w:val="004E1EB9"/>
    <w:rsid w:val="004E290C"/>
    <w:rsid w:val="004E2DDF"/>
    <w:rsid w:val="004F02ED"/>
    <w:rsid w:val="004F0BBC"/>
    <w:rsid w:val="00500698"/>
    <w:rsid w:val="00500C21"/>
    <w:rsid w:val="00504D0D"/>
    <w:rsid w:val="00505535"/>
    <w:rsid w:val="00506F1D"/>
    <w:rsid w:val="005108F7"/>
    <w:rsid w:val="00512049"/>
    <w:rsid w:val="00512DB8"/>
    <w:rsid w:val="00516EDA"/>
    <w:rsid w:val="00516F05"/>
    <w:rsid w:val="00521286"/>
    <w:rsid w:val="005216D9"/>
    <w:rsid w:val="00521917"/>
    <w:rsid w:val="00521D96"/>
    <w:rsid w:val="00522386"/>
    <w:rsid w:val="00522F5A"/>
    <w:rsid w:val="005241FC"/>
    <w:rsid w:val="00526231"/>
    <w:rsid w:val="00526E20"/>
    <w:rsid w:val="00530778"/>
    <w:rsid w:val="00531115"/>
    <w:rsid w:val="0053350E"/>
    <w:rsid w:val="00534338"/>
    <w:rsid w:val="005355CD"/>
    <w:rsid w:val="00536C92"/>
    <w:rsid w:val="00537B8F"/>
    <w:rsid w:val="00540648"/>
    <w:rsid w:val="00541298"/>
    <w:rsid w:val="005453AD"/>
    <w:rsid w:val="00545672"/>
    <w:rsid w:val="00550C02"/>
    <w:rsid w:val="00552771"/>
    <w:rsid w:val="005529BE"/>
    <w:rsid w:val="005530A6"/>
    <w:rsid w:val="00553955"/>
    <w:rsid w:val="005539F5"/>
    <w:rsid w:val="00555F6B"/>
    <w:rsid w:val="00556B36"/>
    <w:rsid w:val="00560E58"/>
    <w:rsid w:val="0056384E"/>
    <w:rsid w:val="00565886"/>
    <w:rsid w:val="00565E2B"/>
    <w:rsid w:val="005666EB"/>
    <w:rsid w:val="005716AE"/>
    <w:rsid w:val="005734C2"/>
    <w:rsid w:val="00574766"/>
    <w:rsid w:val="005769E9"/>
    <w:rsid w:val="00576E25"/>
    <w:rsid w:val="005773A6"/>
    <w:rsid w:val="00580CF7"/>
    <w:rsid w:val="0058227B"/>
    <w:rsid w:val="00582392"/>
    <w:rsid w:val="00582EAB"/>
    <w:rsid w:val="0058333F"/>
    <w:rsid w:val="00585174"/>
    <w:rsid w:val="005851BC"/>
    <w:rsid w:val="00585ED7"/>
    <w:rsid w:val="0058663E"/>
    <w:rsid w:val="00587ACA"/>
    <w:rsid w:val="00587FF0"/>
    <w:rsid w:val="005901A8"/>
    <w:rsid w:val="00590BE9"/>
    <w:rsid w:val="00592827"/>
    <w:rsid w:val="00594222"/>
    <w:rsid w:val="00595AC5"/>
    <w:rsid w:val="00595C9D"/>
    <w:rsid w:val="005975D4"/>
    <w:rsid w:val="00597A86"/>
    <w:rsid w:val="005A24DB"/>
    <w:rsid w:val="005A3D3A"/>
    <w:rsid w:val="005A6554"/>
    <w:rsid w:val="005A72A3"/>
    <w:rsid w:val="005B008A"/>
    <w:rsid w:val="005B08D2"/>
    <w:rsid w:val="005B1F1E"/>
    <w:rsid w:val="005B35E7"/>
    <w:rsid w:val="005B48CE"/>
    <w:rsid w:val="005B4FEB"/>
    <w:rsid w:val="005B6C21"/>
    <w:rsid w:val="005C099E"/>
    <w:rsid w:val="005C4372"/>
    <w:rsid w:val="005C58D2"/>
    <w:rsid w:val="005C5A9D"/>
    <w:rsid w:val="005C6145"/>
    <w:rsid w:val="005D019C"/>
    <w:rsid w:val="005D067E"/>
    <w:rsid w:val="005D09E5"/>
    <w:rsid w:val="005D1162"/>
    <w:rsid w:val="005D2315"/>
    <w:rsid w:val="005D2742"/>
    <w:rsid w:val="005D3324"/>
    <w:rsid w:val="005D3851"/>
    <w:rsid w:val="005D481B"/>
    <w:rsid w:val="005D5EDC"/>
    <w:rsid w:val="005D61D3"/>
    <w:rsid w:val="005D6CEC"/>
    <w:rsid w:val="005E141F"/>
    <w:rsid w:val="005E7D7C"/>
    <w:rsid w:val="005F092A"/>
    <w:rsid w:val="005F19FD"/>
    <w:rsid w:val="005F25B4"/>
    <w:rsid w:val="005F5879"/>
    <w:rsid w:val="005F6FC1"/>
    <w:rsid w:val="005F708E"/>
    <w:rsid w:val="005F74E0"/>
    <w:rsid w:val="00602C0D"/>
    <w:rsid w:val="0060383E"/>
    <w:rsid w:val="00604985"/>
    <w:rsid w:val="006051E4"/>
    <w:rsid w:val="00605304"/>
    <w:rsid w:val="006109B0"/>
    <w:rsid w:val="006111F2"/>
    <w:rsid w:val="006137B7"/>
    <w:rsid w:val="006142B6"/>
    <w:rsid w:val="006153B2"/>
    <w:rsid w:val="006158DB"/>
    <w:rsid w:val="00616971"/>
    <w:rsid w:val="00616EBD"/>
    <w:rsid w:val="0062067A"/>
    <w:rsid w:val="006226AB"/>
    <w:rsid w:val="00622AF4"/>
    <w:rsid w:val="00623360"/>
    <w:rsid w:val="00624B69"/>
    <w:rsid w:val="00625EB2"/>
    <w:rsid w:val="006266A2"/>
    <w:rsid w:val="00626722"/>
    <w:rsid w:val="00626C18"/>
    <w:rsid w:val="006307CC"/>
    <w:rsid w:val="006308F4"/>
    <w:rsid w:val="006342F2"/>
    <w:rsid w:val="006347DC"/>
    <w:rsid w:val="00635C08"/>
    <w:rsid w:val="00635CFD"/>
    <w:rsid w:val="00640E7A"/>
    <w:rsid w:val="006423C7"/>
    <w:rsid w:val="00642FED"/>
    <w:rsid w:val="00643586"/>
    <w:rsid w:val="00644C5E"/>
    <w:rsid w:val="00644DC7"/>
    <w:rsid w:val="00644E1A"/>
    <w:rsid w:val="00645AF7"/>
    <w:rsid w:val="0065028A"/>
    <w:rsid w:val="00651BFF"/>
    <w:rsid w:val="0065206E"/>
    <w:rsid w:val="006547D9"/>
    <w:rsid w:val="00656A55"/>
    <w:rsid w:val="00656A7C"/>
    <w:rsid w:val="00660106"/>
    <w:rsid w:val="00661AD9"/>
    <w:rsid w:val="006626E0"/>
    <w:rsid w:val="00662832"/>
    <w:rsid w:val="006628BB"/>
    <w:rsid w:val="0066594E"/>
    <w:rsid w:val="00666107"/>
    <w:rsid w:val="0067028A"/>
    <w:rsid w:val="00670B36"/>
    <w:rsid w:val="00671432"/>
    <w:rsid w:val="006718A6"/>
    <w:rsid w:val="00672516"/>
    <w:rsid w:val="006737C2"/>
    <w:rsid w:val="00673A0C"/>
    <w:rsid w:val="006749E4"/>
    <w:rsid w:val="00675DF1"/>
    <w:rsid w:val="00676D63"/>
    <w:rsid w:val="00677EFB"/>
    <w:rsid w:val="00680863"/>
    <w:rsid w:val="00680DD2"/>
    <w:rsid w:val="006812F8"/>
    <w:rsid w:val="00683A8C"/>
    <w:rsid w:val="006862E8"/>
    <w:rsid w:val="0068730A"/>
    <w:rsid w:val="00691B88"/>
    <w:rsid w:val="00694164"/>
    <w:rsid w:val="00694318"/>
    <w:rsid w:val="0069569F"/>
    <w:rsid w:val="006971D1"/>
    <w:rsid w:val="00697500"/>
    <w:rsid w:val="006A3AAE"/>
    <w:rsid w:val="006A58C8"/>
    <w:rsid w:val="006A59F2"/>
    <w:rsid w:val="006A5FC2"/>
    <w:rsid w:val="006B0FD3"/>
    <w:rsid w:val="006B1CA9"/>
    <w:rsid w:val="006B30E4"/>
    <w:rsid w:val="006B3445"/>
    <w:rsid w:val="006B44AD"/>
    <w:rsid w:val="006B57C9"/>
    <w:rsid w:val="006B5F26"/>
    <w:rsid w:val="006B6485"/>
    <w:rsid w:val="006B64FF"/>
    <w:rsid w:val="006B6D19"/>
    <w:rsid w:val="006C05EC"/>
    <w:rsid w:val="006C2A6C"/>
    <w:rsid w:val="006C328F"/>
    <w:rsid w:val="006C3F27"/>
    <w:rsid w:val="006C5943"/>
    <w:rsid w:val="006C599C"/>
    <w:rsid w:val="006D0E4D"/>
    <w:rsid w:val="006D1BDC"/>
    <w:rsid w:val="006D1F46"/>
    <w:rsid w:val="006D212B"/>
    <w:rsid w:val="006D2DD1"/>
    <w:rsid w:val="006D4D17"/>
    <w:rsid w:val="006D5498"/>
    <w:rsid w:val="006D55EE"/>
    <w:rsid w:val="006D6384"/>
    <w:rsid w:val="006D6734"/>
    <w:rsid w:val="006D7BF6"/>
    <w:rsid w:val="006E0F73"/>
    <w:rsid w:val="006E2644"/>
    <w:rsid w:val="006E3135"/>
    <w:rsid w:val="006E4CA7"/>
    <w:rsid w:val="006E4EAE"/>
    <w:rsid w:val="006F0880"/>
    <w:rsid w:val="006F2FA4"/>
    <w:rsid w:val="006F4785"/>
    <w:rsid w:val="006F5910"/>
    <w:rsid w:val="006F6489"/>
    <w:rsid w:val="006F6C06"/>
    <w:rsid w:val="00705097"/>
    <w:rsid w:val="00705334"/>
    <w:rsid w:val="007103C4"/>
    <w:rsid w:val="00710F83"/>
    <w:rsid w:val="00710FB6"/>
    <w:rsid w:val="00713129"/>
    <w:rsid w:val="00713884"/>
    <w:rsid w:val="00713AFF"/>
    <w:rsid w:val="007144D0"/>
    <w:rsid w:val="007154A4"/>
    <w:rsid w:val="007155CF"/>
    <w:rsid w:val="007172BF"/>
    <w:rsid w:val="007172D8"/>
    <w:rsid w:val="007208C1"/>
    <w:rsid w:val="0072579C"/>
    <w:rsid w:val="00726CF8"/>
    <w:rsid w:val="00726F81"/>
    <w:rsid w:val="0073252E"/>
    <w:rsid w:val="00732745"/>
    <w:rsid w:val="007347FF"/>
    <w:rsid w:val="00735A32"/>
    <w:rsid w:val="00735E87"/>
    <w:rsid w:val="00737DDB"/>
    <w:rsid w:val="00740075"/>
    <w:rsid w:val="00740C69"/>
    <w:rsid w:val="00742E71"/>
    <w:rsid w:val="00743E62"/>
    <w:rsid w:val="007443F4"/>
    <w:rsid w:val="007451B6"/>
    <w:rsid w:val="00745725"/>
    <w:rsid w:val="00745757"/>
    <w:rsid w:val="00746548"/>
    <w:rsid w:val="00747050"/>
    <w:rsid w:val="00747CE8"/>
    <w:rsid w:val="0075004D"/>
    <w:rsid w:val="007514B5"/>
    <w:rsid w:val="00751786"/>
    <w:rsid w:val="00751929"/>
    <w:rsid w:val="00752BF5"/>
    <w:rsid w:val="00753217"/>
    <w:rsid w:val="00754977"/>
    <w:rsid w:val="007550BC"/>
    <w:rsid w:val="00756206"/>
    <w:rsid w:val="00756F0E"/>
    <w:rsid w:val="00757B5F"/>
    <w:rsid w:val="0076372C"/>
    <w:rsid w:val="007707BB"/>
    <w:rsid w:val="00770B53"/>
    <w:rsid w:val="0077180D"/>
    <w:rsid w:val="00773DBC"/>
    <w:rsid w:val="0077509B"/>
    <w:rsid w:val="007764C2"/>
    <w:rsid w:val="00776977"/>
    <w:rsid w:val="00780387"/>
    <w:rsid w:val="00780705"/>
    <w:rsid w:val="00781CD6"/>
    <w:rsid w:val="0078202A"/>
    <w:rsid w:val="00783680"/>
    <w:rsid w:val="00784988"/>
    <w:rsid w:val="00786193"/>
    <w:rsid w:val="007862EB"/>
    <w:rsid w:val="0078665D"/>
    <w:rsid w:val="007878A5"/>
    <w:rsid w:val="00790316"/>
    <w:rsid w:val="00792697"/>
    <w:rsid w:val="00794773"/>
    <w:rsid w:val="00796D75"/>
    <w:rsid w:val="00797067"/>
    <w:rsid w:val="007A0268"/>
    <w:rsid w:val="007A2330"/>
    <w:rsid w:val="007A2CE4"/>
    <w:rsid w:val="007A520F"/>
    <w:rsid w:val="007A5214"/>
    <w:rsid w:val="007A55F2"/>
    <w:rsid w:val="007A5905"/>
    <w:rsid w:val="007A5CF3"/>
    <w:rsid w:val="007A5E7A"/>
    <w:rsid w:val="007A608F"/>
    <w:rsid w:val="007A639E"/>
    <w:rsid w:val="007B1A55"/>
    <w:rsid w:val="007B1DFC"/>
    <w:rsid w:val="007B2F06"/>
    <w:rsid w:val="007B3111"/>
    <w:rsid w:val="007B4DF0"/>
    <w:rsid w:val="007B573C"/>
    <w:rsid w:val="007B5D08"/>
    <w:rsid w:val="007B6A75"/>
    <w:rsid w:val="007B7EB3"/>
    <w:rsid w:val="007C3F5B"/>
    <w:rsid w:val="007C46BB"/>
    <w:rsid w:val="007C5477"/>
    <w:rsid w:val="007C565E"/>
    <w:rsid w:val="007C57C9"/>
    <w:rsid w:val="007C6DAE"/>
    <w:rsid w:val="007D02BC"/>
    <w:rsid w:val="007D06EB"/>
    <w:rsid w:val="007D0CE2"/>
    <w:rsid w:val="007D280A"/>
    <w:rsid w:val="007D4EB4"/>
    <w:rsid w:val="007D53EF"/>
    <w:rsid w:val="007D6351"/>
    <w:rsid w:val="007D64D3"/>
    <w:rsid w:val="007D6EBE"/>
    <w:rsid w:val="007D7073"/>
    <w:rsid w:val="007D7420"/>
    <w:rsid w:val="007D7B6A"/>
    <w:rsid w:val="007E008F"/>
    <w:rsid w:val="007E016D"/>
    <w:rsid w:val="007E2D11"/>
    <w:rsid w:val="007E59C4"/>
    <w:rsid w:val="007E674B"/>
    <w:rsid w:val="007E78BB"/>
    <w:rsid w:val="007F1966"/>
    <w:rsid w:val="007F5B4E"/>
    <w:rsid w:val="007F6054"/>
    <w:rsid w:val="007F7A41"/>
    <w:rsid w:val="007F7BA4"/>
    <w:rsid w:val="0080164A"/>
    <w:rsid w:val="00802724"/>
    <w:rsid w:val="0080408F"/>
    <w:rsid w:val="00805E4C"/>
    <w:rsid w:val="008072DD"/>
    <w:rsid w:val="00807BF6"/>
    <w:rsid w:val="0081172B"/>
    <w:rsid w:val="00811E38"/>
    <w:rsid w:val="00811F61"/>
    <w:rsid w:val="008137BB"/>
    <w:rsid w:val="008139D8"/>
    <w:rsid w:val="008168F7"/>
    <w:rsid w:val="00816FA5"/>
    <w:rsid w:val="00817CFE"/>
    <w:rsid w:val="00817D61"/>
    <w:rsid w:val="00820B3E"/>
    <w:rsid w:val="00820C3A"/>
    <w:rsid w:val="00822D86"/>
    <w:rsid w:val="008264D0"/>
    <w:rsid w:val="00827739"/>
    <w:rsid w:val="00827A6F"/>
    <w:rsid w:val="00827DE8"/>
    <w:rsid w:val="008304D6"/>
    <w:rsid w:val="008344EB"/>
    <w:rsid w:val="00834BDE"/>
    <w:rsid w:val="00835C25"/>
    <w:rsid w:val="0084198B"/>
    <w:rsid w:val="00842382"/>
    <w:rsid w:val="008427CF"/>
    <w:rsid w:val="00843B80"/>
    <w:rsid w:val="0084429A"/>
    <w:rsid w:val="008458A6"/>
    <w:rsid w:val="00845A3D"/>
    <w:rsid w:val="0084706A"/>
    <w:rsid w:val="0085070C"/>
    <w:rsid w:val="008509E9"/>
    <w:rsid w:val="0085202B"/>
    <w:rsid w:val="00854FA7"/>
    <w:rsid w:val="008557B7"/>
    <w:rsid w:val="00855AC0"/>
    <w:rsid w:val="00862F63"/>
    <w:rsid w:val="00862F66"/>
    <w:rsid w:val="00863882"/>
    <w:rsid w:val="00866951"/>
    <w:rsid w:val="00866A53"/>
    <w:rsid w:val="00873687"/>
    <w:rsid w:val="00874FC8"/>
    <w:rsid w:val="008804BD"/>
    <w:rsid w:val="008814DC"/>
    <w:rsid w:val="00882F46"/>
    <w:rsid w:val="00883A32"/>
    <w:rsid w:val="008840FB"/>
    <w:rsid w:val="008843C8"/>
    <w:rsid w:val="00884EFB"/>
    <w:rsid w:val="0088799E"/>
    <w:rsid w:val="0089044D"/>
    <w:rsid w:val="00890EC3"/>
    <w:rsid w:val="0089370C"/>
    <w:rsid w:val="00894DE6"/>
    <w:rsid w:val="008953AF"/>
    <w:rsid w:val="00895E05"/>
    <w:rsid w:val="00896EED"/>
    <w:rsid w:val="008970A1"/>
    <w:rsid w:val="008A2D7C"/>
    <w:rsid w:val="008A2F3B"/>
    <w:rsid w:val="008B0ED6"/>
    <w:rsid w:val="008B1C64"/>
    <w:rsid w:val="008B1F6F"/>
    <w:rsid w:val="008B274E"/>
    <w:rsid w:val="008B4447"/>
    <w:rsid w:val="008B4795"/>
    <w:rsid w:val="008B4A6E"/>
    <w:rsid w:val="008B5BC6"/>
    <w:rsid w:val="008C0DFD"/>
    <w:rsid w:val="008C3B9A"/>
    <w:rsid w:val="008C3BEA"/>
    <w:rsid w:val="008C3F2F"/>
    <w:rsid w:val="008C5C48"/>
    <w:rsid w:val="008C5F53"/>
    <w:rsid w:val="008C7180"/>
    <w:rsid w:val="008D119B"/>
    <w:rsid w:val="008D1A10"/>
    <w:rsid w:val="008D3BDA"/>
    <w:rsid w:val="008D3E9D"/>
    <w:rsid w:val="008D3F88"/>
    <w:rsid w:val="008D41A8"/>
    <w:rsid w:val="008D4BCD"/>
    <w:rsid w:val="008D4DEE"/>
    <w:rsid w:val="008E12CB"/>
    <w:rsid w:val="008E3208"/>
    <w:rsid w:val="008E5298"/>
    <w:rsid w:val="008E5F43"/>
    <w:rsid w:val="008E7A6E"/>
    <w:rsid w:val="008F00AD"/>
    <w:rsid w:val="008F1BE0"/>
    <w:rsid w:val="008F2533"/>
    <w:rsid w:val="008F4A06"/>
    <w:rsid w:val="008F6520"/>
    <w:rsid w:val="008F7EE1"/>
    <w:rsid w:val="00900F73"/>
    <w:rsid w:val="009016B6"/>
    <w:rsid w:val="00901BE9"/>
    <w:rsid w:val="00901C51"/>
    <w:rsid w:val="00903142"/>
    <w:rsid w:val="00903450"/>
    <w:rsid w:val="00904666"/>
    <w:rsid w:val="00905A26"/>
    <w:rsid w:val="00905AFF"/>
    <w:rsid w:val="00905F46"/>
    <w:rsid w:val="00905FCB"/>
    <w:rsid w:val="009067DF"/>
    <w:rsid w:val="009074B3"/>
    <w:rsid w:val="00911809"/>
    <w:rsid w:val="009144AC"/>
    <w:rsid w:val="009164D0"/>
    <w:rsid w:val="0092084A"/>
    <w:rsid w:val="0092086F"/>
    <w:rsid w:val="00920D73"/>
    <w:rsid w:val="00923106"/>
    <w:rsid w:val="00923F65"/>
    <w:rsid w:val="00924C5D"/>
    <w:rsid w:val="00925AB9"/>
    <w:rsid w:val="0093358E"/>
    <w:rsid w:val="00933F43"/>
    <w:rsid w:val="009342B1"/>
    <w:rsid w:val="009359BE"/>
    <w:rsid w:val="00935BEA"/>
    <w:rsid w:val="00936F2E"/>
    <w:rsid w:val="0094023E"/>
    <w:rsid w:val="009410A5"/>
    <w:rsid w:val="0094321D"/>
    <w:rsid w:val="00945114"/>
    <w:rsid w:val="0094533D"/>
    <w:rsid w:val="009468AD"/>
    <w:rsid w:val="00947E0B"/>
    <w:rsid w:val="00950A11"/>
    <w:rsid w:val="00950C2E"/>
    <w:rsid w:val="00952A71"/>
    <w:rsid w:val="00952D5B"/>
    <w:rsid w:val="00952E49"/>
    <w:rsid w:val="00952F81"/>
    <w:rsid w:val="009537FF"/>
    <w:rsid w:val="009538D0"/>
    <w:rsid w:val="00955BD5"/>
    <w:rsid w:val="00956161"/>
    <w:rsid w:val="00956F72"/>
    <w:rsid w:val="009571C9"/>
    <w:rsid w:val="00961837"/>
    <w:rsid w:val="00964FE9"/>
    <w:rsid w:val="009651D9"/>
    <w:rsid w:val="0096764C"/>
    <w:rsid w:val="00970D56"/>
    <w:rsid w:val="009719D6"/>
    <w:rsid w:val="00974A74"/>
    <w:rsid w:val="00975667"/>
    <w:rsid w:val="0097631F"/>
    <w:rsid w:val="009774A9"/>
    <w:rsid w:val="00977766"/>
    <w:rsid w:val="00977A2B"/>
    <w:rsid w:val="00981988"/>
    <w:rsid w:val="00982F51"/>
    <w:rsid w:val="0098368B"/>
    <w:rsid w:val="00984176"/>
    <w:rsid w:val="00984A44"/>
    <w:rsid w:val="00984B1F"/>
    <w:rsid w:val="0098552F"/>
    <w:rsid w:val="00986099"/>
    <w:rsid w:val="009866DF"/>
    <w:rsid w:val="00986A88"/>
    <w:rsid w:val="00986FA9"/>
    <w:rsid w:val="00987347"/>
    <w:rsid w:val="0098787F"/>
    <w:rsid w:val="00987F34"/>
    <w:rsid w:val="00990813"/>
    <w:rsid w:val="009936EA"/>
    <w:rsid w:val="00994860"/>
    <w:rsid w:val="0099630E"/>
    <w:rsid w:val="00997EDE"/>
    <w:rsid w:val="009A0B02"/>
    <w:rsid w:val="009A1577"/>
    <w:rsid w:val="009A308F"/>
    <w:rsid w:val="009A45B9"/>
    <w:rsid w:val="009A4BFE"/>
    <w:rsid w:val="009A4CBA"/>
    <w:rsid w:val="009A5044"/>
    <w:rsid w:val="009A6D0B"/>
    <w:rsid w:val="009A79DE"/>
    <w:rsid w:val="009B1088"/>
    <w:rsid w:val="009B1E70"/>
    <w:rsid w:val="009B5B62"/>
    <w:rsid w:val="009B600E"/>
    <w:rsid w:val="009B7152"/>
    <w:rsid w:val="009C0993"/>
    <w:rsid w:val="009C1A1E"/>
    <w:rsid w:val="009C40D3"/>
    <w:rsid w:val="009C4D63"/>
    <w:rsid w:val="009C5DCA"/>
    <w:rsid w:val="009C5EB1"/>
    <w:rsid w:val="009C6BAA"/>
    <w:rsid w:val="009C7A7D"/>
    <w:rsid w:val="009D096D"/>
    <w:rsid w:val="009D11B5"/>
    <w:rsid w:val="009D11C1"/>
    <w:rsid w:val="009D13BE"/>
    <w:rsid w:val="009D2164"/>
    <w:rsid w:val="009D33D7"/>
    <w:rsid w:val="009D7176"/>
    <w:rsid w:val="009E2350"/>
    <w:rsid w:val="009E3DF6"/>
    <w:rsid w:val="009E4736"/>
    <w:rsid w:val="009F2263"/>
    <w:rsid w:val="009F5813"/>
    <w:rsid w:val="009F7137"/>
    <w:rsid w:val="009F76A6"/>
    <w:rsid w:val="00A05B57"/>
    <w:rsid w:val="00A05E94"/>
    <w:rsid w:val="00A07D62"/>
    <w:rsid w:val="00A117F0"/>
    <w:rsid w:val="00A12B5C"/>
    <w:rsid w:val="00A13483"/>
    <w:rsid w:val="00A139BD"/>
    <w:rsid w:val="00A1449D"/>
    <w:rsid w:val="00A14AE5"/>
    <w:rsid w:val="00A14BBD"/>
    <w:rsid w:val="00A1585A"/>
    <w:rsid w:val="00A15D7B"/>
    <w:rsid w:val="00A15E10"/>
    <w:rsid w:val="00A1745E"/>
    <w:rsid w:val="00A23C4E"/>
    <w:rsid w:val="00A23EFE"/>
    <w:rsid w:val="00A2492F"/>
    <w:rsid w:val="00A25B27"/>
    <w:rsid w:val="00A26CAA"/>
    <w:rsid w:val="00A27FD7"/>
    <w:rsid w:val="00A30295"/>
    <w:rsid w:val="00A32C61"/>
    <w:rsid w:val="00A32E39"/>
    <w:rsid w:val="00A331C3"/>
    <w:rsid w:val="00A3349D"/>
    <w:rsid w:val="00A36F1B"/>
    <w:rsid w:val="00A36F27"/>
    <w:rsid w:val="00A42231"/>
    <w:rsid w:val="00A436EB"/>
    <w:rsid w:val="00A45654"/>
    <w:rsid w:val="00A466C9"/>
    <w:rsid w:val="00A46CAD"/>
    <w:rsid w:val="00A473E6"/>
    <w:rsid w:val="00A502DE"/>
    <w:rsid w:val="00A53EEC"/>
    <w:rsid w:val="00A54B39"/>
    <w:rsid w:val="00A56D29"/>
    <w:rsid w:val="00A571E0"/>
    <w:rsid w:val="00A57311"/>
    <w:rsid w:val="00A57DF5"/>
    <w:rsid w:val="00A601C8"/>
    <w:rsid w:val="00A61DCF"/>
    <w:rsid w:val="00A624CD"/>
    <w:rsid w:val="00A71016"/>
    <w:rsid w:val="00A735F2"/>
    <w:rsid w:val="00A7483C"/>
    <w:rsid w:val="00A74977"/>
    <w:rsid w:val="00A75DB7"/>
    <w:rsid w:val="00A772ED"/>
    <w:rsid w:val="00A804BE"/>
    <w:rsid w:val="00A80913"/>
    <w:rsid w:val="00A80E25"/>
    <w:rsid w:val="00A831F9"/>
    <w:rsid w:val="00A835E9"/>
    <w:rsid w:val="00A838E7"/>
    <w:rsid w:val="00A838FF"/>
    <w:rsid w:val="00A85BD8"/>
    <w:rsid w:val="00A85EDD"/>
    <w:rsid w:val="00A90217"/>
    <w:rsid w:val="00A90347"/>
    <w:rsid w:val="00A904BD"/>
    <w:rsid w:val="00A94F3A"/>
    <w:rsid w:val="00A954BC"/>
    <w:rsid w:val="00A96093"/>
    <w:rsid w:val="00A96A10"/>
    <w:rsid w:val="00A979D2"/>
    <w:rsid w:val="00AA1BA2"/>
    <w:rsid w:val="00AA2392"/>
    <w:rsid w:val="00AA2921"/>
    <w:rsid w:val="00AA3487"/>
    <w:rsid w:val="00AA5FB5"/>
    <w:rsid w:val="00AA7D47"/>
    <w:rsid w:val="00AA7F9D"/>
    <w:rsid w:val="00AB17C9"/>
    <w:rsid w:val="00AB243D"/>
    <w:rsid w:val="00AB4BD2"/>
    <w:rsid w:val="00AB5900"/>
    <w:rsid w:val="00AB5E94"/>
    <w:rsid w:val="00AB7573"/>
    <w:rsid w:val="00AC0CED"/>
    <w:rsid w:val="00AC106A"/>
    <w:rsid w:val="00AC4618"/>
    <w:rsid w:val="00AC47F5"/>
    <w:rsid w:val="00AC521E"/>
    <w:rsid w:val="00AC54E8"/>
    <w:rsid w:val="00AC592E"/>
    <w:rsid w:val="00AC66AB"/>
    <w:rsid w:val="00AC7FDF"/>
    <w:rsid w:val="00AD0D88"/>
    <w:rsid w:val="00AD1C55"/>
    <w:rsid w:val="00AD5EEF"/>
    <w:rsid w:val="00AD7041"/>
    <w:rsid w:val="00AD7211"/>
    <w:rsid w:val="00AE05D5"/>
    <w:rsid w:val="00AE156B"/>
    <w:rsid w:val="00AE1B64"/>
    <w:rsid w:val="00AE1D58"/>
    <w:rsid w:val="00AE34C1"/>
    <w:rsid w:val="00AE3D3D"/>
    <w:rsid w:val="00AE4948"/>
    <w:rsid w:val="00AE4B0C"/>
    <w:rsid w:val="00AE52FA"/>
    <w:rsid w:val="00AE533A"/>
    <w:rsid w:val="00AE5ED0"/>
    <w:rsid w:val="00AF0AB4"/>
    <w:rsid w:val="00AF14B1"/>
    <w:rsid w:val="00AF3F89"/>
    <w:rsid w:val="00AF4408"/>
    <w:rsid w:val="00AF4742"/>
    <w:rsid w:val="00AF6D97"/>
    <w:rsid w:val="00AF74A1"/>
    <w:rsid w:val="00AF7A5D"/>
    <w:rsid w:val="00AF7DFA"/>
    <w:rsid w:val="00B00668"/>
    <w:rsid w:val="00B03C30"/>
    <w:rsid w:val="00B0429B"/>
    <w:rsid w:val="00B10828"/>
    <w:rsid w:val="00B11E1A"/>
    <w:rsid w:val="00B122BA"/>
    <w:rsid w:val="00B12C60"/>
    <w:rsid w:val="00B13CCE"/>
    <w:rsid w:val="00B143F6"/>
    <w:rsid w:val="00B15444"/>
    <w:rsid w:val="00B154A3"/>
    <w:rsid w:val="00B15D23"/>
    <w:rsid w:val="00B15DFB"/>
    <w:rsid w:val="00B16190"/>
    <w:rsid w:val="00B200B6"/>
    <w:rsid w:val="00B20E2D"/>
    <w:rsid w:val="00B216CC"/>
    <w:rsid w:val="00B22F2D"/>
    <w:rsid w:val="00B25572"/>
    <w:rsid w:val="00B274EA"/>
    <w:rsid w:val="00B27528"/>
    <w:rsid w:val="00B308A0"/>
    <w:rsid w:val="00B3093B"/>
    <w:rsid w:val="00B3159D"/>
    <w:rsid w:val="00B315C8"/>
    <w:rsid w:val="00B3377A"/>
    <w:rsid w:val="00B34462"/>
    <w:rsid w:val="00B34BDF"/>
    <w:rsid w:val="00B3530C"/>
    <w:rsid w:val="00B353B9"/>
    <w:rsid w:val="00B355F1"/>
    <w:rsid w:val="00B357EC"/>
    <w:rsid w:val="00B37520"/>
    <w:rsid w:val="00B40C17"/>
    <w:rsid w:val="00B40C55"/>
    <w:rsid w:val="00B42A79"/>
    <w:rsid w:val="00B4417E"/>
    <w:rsid w:val="00B46248"/>
    <w:rsid w:val="00B46E83"/>
    <w:rsid w:val="00B47970"/>
    <w:rsid w:val="00B50C7E"/>
    <w:rsid w:val="00B5115A"/>
    <w:rsid w:val="00B53100"/>
    <w:rsid w:val="00B54289"/>
    <w:rsid w:val="00B60641"/>
    <w:rsid w:val="00B6183A"/>
    <w:rsid w:val="00B61BB1"/>
    <w:rsid w:val="00B62B12"/>
    <w:rsid w:val="00B62F46"/>
    <w:rsid w:val="00B66610"/>
    <w:rsid w:val="00B6686E"/>
    <w:rsid w:val="00B713F1"/>
    <w:rsid w:val="00B71CA4"/>
    <w:rsid w:val="00B724FC"/>
    <w:rsid w:val="00B728A2"/>
    <w:rsid w:val="00B744E9"/>
    <w:rsid w:val="00B75B61"/>
    <w:rsid w:val="00B75F41"/>
    <w:rsid w:val="00B76191"/>
    <w:rsid w:val="00B76B4D"/>
    <w:rsid w:val="00B774EC"/>
    <w:rsid w:val="00B80D97"/>
    <w:rsid w:val="00B82DD2"/>
    <w:rsid w:val="00B83923"/>
    <w:rsid w:val="00B846B2"/>
    <w:rsid w:val="00B85129"/>
    <w:rsid w:val="00B861D8"/>
    <w:rsid w:val="00B86C3C"/>
    <w:rsid w:val="00B90389"/>
    <w:rsid w:val="00B915A9"/>
    <w:rsid w:val="00B9243D"/>
    <w:rsid w:val="00B92C3F"/>
    <w:rsid w:val="00B93CF2"/>
    <w:rsid w:val="00B9406F"/>
    <w:rsid w:val="00B949A0"/>
    <w:rsid w:val="00B953FD"/>
    <w:rsid w:val="00BA28BB"/>
    <w:rsid w:val="00BA614A"/>
    <w:rsid w:val="00BA67F2"/>
    <w:rsid w:val="00BA7352"/>
    <w:rsid w:val="00BB020D"/>
    <w:rsid w:val="00BB0FDF"/>
    <w:rsid w:val="00BB17B8"/>
    <w:rsid w:val="00BB2C85"/>
    <w:rsid w:val="00BB32C3"/>
    <w:rsid w:val="00BB446B"/>
    <w:rsid w:val="00BB4F8E"/>
    <w:rsid w:val="00BB6DB6"/>
    <w:rsid w:val="00BC15A4"/>
    <w:rsid w:val="00BC52E2"/>
    <w:rsid w:val="00BC6D50"/>
    <w:rsid w:val="00BD09E4"/>
    <w:rsid w:val="00BD0A74"/>
    <w:rsid w:val="00BD0AF1"/>
    <w:rsid w:val="00BD13D8"/>
    <w:rsid w:val="00BD2912"/>
    <w:rsid w:val="00BD413E"/>
    <w:rsid w:val="00BD47C0"/>
    <w:rsid w:val="00BD6133"/>
    <w:rsid w:val="00BD6DDD"/>
    <w:rsid w:val="00BE0AFC"/>
    <w:rsid w:val="00BE0BCB"/>
    <w:rsid w:val="00BE0D45"/>
    <w:rsid w:val="00BE1390"/>
    <w:rsid w:val="00BE3488"/>
    <w:rsid w:val="00BE352D"/>
    <w:rsid w:val="00BE3DAE"/>
    <w:rsid w:val="00BE451D"/>
    <w:rsid w:val="00BE4ABE"/>
    <w:rsid w:val="00BE72FD"/>
    <w:rsid w:val="00BF2BCE"/>
    <w:rsid w:val="00BF3703"/>
    <w:rsid w:val="00BF3E27"/>
    <w:rsid w:val="00BF46AB"/>
    <w:rsid w:val="00BF6766"/>
    <w:rsid w:val="00BF6A81"/>
    <w:rsid w:val="00C00515"/>
    <w:rsid w:val="00C0755D"/>
    <w:rsid w:val="00C07CF5"/>
    <w:rsid w:val="00C10B6B"/>
    <w:rsid w:val="00C21E0F"/>
    <w:rsid w:val="00C24060"/>
    <w:rsid w:val="00C302D1"/>
    <w:rsid w:val="00C30FDE"/>
    <w:rsid w:val="00C31416"/>
    <w:rsid w:val="00C32492"/>
    <w:rsid w:val="00C32603"/>
    <w:rsid w:val="00C342CE"/>
    <w:rsid w:val="00C359C0"/>
    <w:rsid w:val="00C37DFD"/>
    <w:rsid w:val="00C42572"/>
    <w:rsid w:val="00C44119"/>
    <w:rsid w:val="00C45582"/>
    <w:rsid w:val="00C470A2"/>
    <w:rsid w:val="00C4726D"/>
    <w:rsid w:val="00C47AAD"/>
    <w:rsid w:val="00C5223E"/>
    <w:rsid w:val="00C526C7"/>
    <w:rsid w:val="00C52B5D"/>
    <w:rsid w:val="00C52D9F"/>
    <w:rsid w:val="00C53A7A"/>
    <w:rsid w:val="00C54893"/>
    <w:rsid w:val="00C54AC2"/>
    <w:rsid w:val="00C6424A"/>
    <w:rsid w:val="00C6445F"/>
    <w:rsid w:val="00C65022"/>
    <w:rsid w:val="00C651A5"/>
    <w:rsid w:val="00C67F9C"/>
    <w:rsid w:val="00C704CA"/>
    <w:rsid w:val="00C70F65"/>
    <w:rsid w:val="00C71492"/>
    <w:rsid w:val="00C72F1B"/>
    <w:rsid w:val="00C73FBC"/>
    <w:rsid w:val="00C75FCF"/>
    <w:rsid w:val="00C75FD2"/>
    <w:rsid w:val="00C76211"/>
    <w:rsid w:val="00C77656"/>
    <w:rsid w:val="00C777C9"/>
    <w:rsid w:val="00C77F36"/>
    <w:rsid w:val="00C80122"/>
    <w:rsid w:val="00C80D9F"/>
    <w:rsid w:val="00C81117"/>
    <w:rsid w:val="00C816DB"/>
    <w:rsid w:val="00C83234"/>
    <w:rsid w:val="00C834BC"/>
    <w:rsid w:val="00C83539"/>
    <w:rsid w:val="00C85577"/>
    <w:rsid w:val="00C856F5"/>
    <w:rsid w:val="00C90A6F"/>
    <w:rsid w:val="00C910C6"/>
    <w:rsid w:val="00C91243"/>
    <w:rsid w:val="00C91DD0"/>
    <w:rsid w:val="00C927A5"/>
    <w:rsid w:val="00C957A3"/>
    <w:rsid w:val="00C95B18"/>
    <w:rsid w:val="00C966E7"/>
    <w:rsid w:val="00CA0AA0"/>
    <w:rsid w:val="00CA1206"/>
    <w:rsid w:val="00CA1518"/>
    <w:rsid w:val="00CA2654"/>
    <w:rsid w:val="00CA28B4"/>
    <w:rsid w:val="00CA3789"/>
    <w:rsid w:val="00CA58CF"/>
    <w:rsid w:val="00CA5BF4"/>
    <w:rsid w:val="00CA5D6D"/>
    <w:rsid w:val="00CA7991"/>
    <w:rsid w:val="00CB0EF4"/>
    <w:rsid w:val="00CB0F21"/>
    <w:rsid w:val="00CB1499"/>
    <w:rsid w:val="00CB310D"/>
    <w:rsid w:val="00CB3208"/>
    <w:rsid w:val="00CB4C10"/>
    <w:rsid w:val="00CB5836"/>
    <w:rsid w:val="00CB68FC"/>
    <w:rsid w:val="00CC084B"/>
    <w:rsid w:val="00CC0B4E"/>
    <w:rsid w:val="00CC116A"/>
    <w:rsid w:val="00CC3713"/>
    <w:rsid w:val="00CC4234"/>
    <w:rsid w:val="00CC4265"/>
    <w:rsid w:val="00CC5988"/>
    <w:rsid w:val="00CC5A46"/>
    <w:rsid w:val="00CC5AEC"/>
    <w:rsid w:val="00CC68F2"/>
    <w:rsid w:val="00CC68FF"/>
    <w:rsid w:val="00CD1155"/>
    <w:rsid w:val="00CD2293"/>
    <w:rsid w:val="00CD2DA9"/>
    <w:rsid w:val="00CD3583"/>
    <w:rsid w:val="00CD37E8"/>
    <w:rsid w:val="00CD46AD"/>
    <w:rsid w:val="00CD7EA9"/>
    <w:rsid w:val="00CE0983"/>
    <w:rsid w:val="00CE1A36"/>
    <w:rsid w:val="00CE2881"/>
    <w:rsid w:val="00CE2B95"/>
    <w:rsid w:val="00CE2F43"/>
    <w:rsid w:val="00CE31AC"/>
    <w:rsid w:val="00CE35FD"/>
    <w:rsid w:val="00CE3879"/>
    <w:rsid w:val="00CE6645"/>
    <w:rsid w:val="00CE6907"/>
    <w:rsid w:val="00CE6A13"/>
    <w:rsid w:val="00CF012E"/>
    <w:rsid w:val="00CF293F"/>
    <w:rsid w:val="00CF2E4F"/>
    <w:rsid w:val="00CF6829"/>
    <w:rsid w:val="00CF6C40"/>
    <w:rsid w:val="00CF76F8"/>
    <w:rsid w:val="00D006EE"/>
    <w:rsid w:val="00D01A1B"/>
    <w:rsid w:val="00D0241F"/>
    <w:rsid w:val="00D02C9B"/>
    <w:rsid w:val="00D04B7F"/>
    <w:rsid w:val="00D07791"/>
    <w:rsid w:val="00D07EAC"/>
    <w:rsid w:val="00D113EA"/>
    <w:rsid w:val="00D1483F"/>
    <w:rsid w:val="00D157FE"/>
    <w:rsid w:val="00D16409"/>
    <w:rsid w:val="00D17B3D"/>
    <w:rsid w:val="00D20114"/>
    <w:rsid w:val="00D20643"/>
    <w:rsid w:val="00D241EE"/>
    <w:rsid w:val="00D255BC"/>
    <w:rsid w:val="00D25704"/>
    <w:rsid w:val="00D25B42"/>
    <w:rsid w:val="00D26910"/>
    <w:rsid w:val="00D26B1C"/>
    <w:rsid w:val="00D27040"/>
    <w:rsid w:val="00D27489"/>
    <w:rsid w:val="00D27660"/>
    <w:rsid w:val="00D32BD8"/>
    <w:rsid w:val="00D33828"/>
    <w:rsid w:val="00D33EDB"/>
    <w:rsid w:val="00D3669A"/>
    <w:rsid w:val="00D3776E"/>
    <w:rsid w:val="00D40242"/>
    <w:rsid w:val="00D40ADB"/>
    <w:rsid w:val="00D414CB"/>
    <w:rsid w:val="00D42776"/>
    <w:rsid w:val="00D46014"/>
    <w:rsid w:val="00D472E3"/>
    <w:rsid w:val="00D5208C"/>
    <w:rsid w:val="00D52CB5"/>
    <w:rsid w:val="00D541B3"/>
    <w:rsid w:val="00D54715"/>
    <w:rsid w:val="00D55A06"/>
    <w:rsid w:val="00D56F3A"/>
    <w:rsid w:val="00D61C22"/>
    <w:rsid w:val="00D62EA4"/>
    <w:rsid w:val="00D63CE0"/>
    <w:rsid w:val="00D64173"/>
    <w:rsid w:val="00D665B5"/>
    <w:rsid w:val="00D6746B"/>
    <w:rsid w:val="00D70F65"/>
    <w:rsid w:val="00D7215C"/>
    <w:rsid w:val="00D7352A"/>
    <w:rsid w:val="00D77114"/>
    <w:rsid w:val="00D77ED4"/>
    <w:rsid w:val="00D77F1C"/>
    <w:rsid w:val="00D80361"/>
    <w:rsid w:val="00D80991"/>
    <w:rsid w:val="00D82334"/>
    <w:rsid w:val="00D82B7B"/>
    <w:rsid w:val="00D8368C"/>
    <w:rsid w:val="00D8618E"/>
    <w:rsid w:val="00D873BB"/>
    <w:rsid w:val="00D878C1"/>
    <w:rsid w:val="00D879F0"/>
    <w:rsid w:val="00D90AC0"/>
    <w:rsid w:val="00D90AE1"/>
    <w:rsid w:val="00D90BFA"/>
    <w:rsid w:val="00D9247C"/>
    <w:rsid w:val="00D927DB"/>
    <w:rsid w:val="00D9399C"/>
    <w:rsid w:val="00D9417D"/>
    <w:rsid w:val="00D9423C"/>
    <w:rsid w:val="00D95621"/>
    <w:rsid w:val="00D957D0"/>
    <w:rsid w:val="00D95A04"/>
    <w:rsid w:val="00DA024F"/>
    <w:rsid w:val="00DA03A9"/>
    <w:rsid w:val="00DA1D42"/>
    <w:rsid w:val="00DA2642"/>
    <w:rsid w:val="00DA2863"/>
    <w:rsid w:val="00DA28D3"/>
    <w:rsid w:val="00DA49C5"/>
    <w:rsid w:val="00DA5993"/>
    <w:rsid w:val="00DA5BC4"/>
    <w:rsid w:val="00DA6C0B"/>
    <w:rsid w:val="00DA6E7F"/>
    <w:rsid w:val="00DB0EF4"/>
    <w:rsid w:val="00DB11BC"/>
    <w:rsid w:val="00DB1C50"/>
    <w:rsid w:val="00DB261C"/>
    <w:rsid w:val="00DB3BB5"/>
    <w:rsid w:val="00DB3FD3"/>
    <w:rsid w:val="00DB4021"/>
    <w:rsid w:val="00DB4493"/>
    <w:rsid w:val="00DB5669"/>
    <w:rsid w:val="00DB784F"/>
    <w:rsid w:val="00DC14E8"/>
    <w:rsid w:val="00DC2A4F"/>
    <w:rsid w:val="00DC396C"/>
    <w:rsid w:val="00DC3D75"/>
    <w:rsid w:val="00DC4FF2"/>
    <w:rsid w:val="00DC6046"/>
    <w:rsid w:val="00DD0F6E"/>
    <w:rsid w:val="00DD1107"/>
    <w:rsid w:val="00DD1434"/>
    <w:rsid w:val="00DD1485"/>
    <w:rsid w:val="00DD28DC"/>
    <w:rsid w:val="00DD561B"/>
    <w:rsid w:val="00DD58FD"/>
    <w:rsid w:val="00DE0714"/>
    <w:rsid w:val="00DE207A"/>
    <w:rsid w:val="00DE2958"/>
    <w:rsid w:val="00DE3828"/>
    <w:rsid w:val="00DE40F1"/>
    <w:rsid w:val="00DE4778"/>
    <w:rsid w:val="00DE6258"/>
    <w:rsid w:val="00DF2B70"/>
    <w:rsid w:val="00DF4E74"/>
    <w:rsid w:val="00DF683B"/>
    <w:rsid w:val="00DF75F0"/>
    <w:rsid w:val="00DF7F1C"/>
    <w:rsid w:val="00DF7FF4"/>
    <w:rsid w:val="00E01E24"/>
    <w:rsid w:val="00E04117"/>
    <w:rsid w:val="00E0586A"/>
    <w:rsid w:val="00E05A44"/>
    <w:rsid w:val="00E05E14"/>
    <w:rsid w:val="00E0630D"/>
    <w:rsid w:val="00E07CEA"/>
    <w:rsid w:val="00E10CC5"/>
    <w:rsid w:val="00E121EA"/>
    <w:rsid w:val="00E15C45"/>
    <w:rsid w:val="00E21C19"/>
    <w:rsid w:val="00E23192"/>
    <w:rsid w:val="00E24B52"/>
    <w:rsid w:val="00E25792"/>
    <w:rsid w:val="00E262B8"/>
    <w:rsid w:val="00E310A8"/>
    <w:rsid w:val="00E31B84"/>
    <w:rsid w:val="00E31FDC"/>
    <w:rsid w:val="00E3351D"/>
    <w:rsid w:val="00E33750"/>
    <w:rsid w:val="00E3414D"/>
    <w:rsid w:val="00E3440C"/>
    <w:rsid w:val="00E365BD"/>
    <w:rsid w:val="00E37C65"/>
    <w:rsid w:val="00E4028D"/>
    <w:rsid w:val="00E415DD"/>
    <w:rsid w:val="00E425CE"/>
    <w:rsid w:val="00E4301E"/>
    <w:rsid w:val="00E431D9"/>
    <w:rsid w:val="00E450B4"/>
    <w:rsid w:val="00E4627E"/>
    <w:rsid w:val="00E5085F"/>
    <w:rsid w:val="00E50AC9"/>
    <w:rsid w:val="00E513CB"/>
    <w:rsid w:val="00E51C7B"/>
    <w:rsid w:val="00E5229A"/>
    <w:rsid w:val="00E53632"/>
    <w:rsid w:val="00E55254"/>
    <w:rsid w:val="00E56377"/>
    <w:rsid w:val="00E5649E"/>
    <w:rsid w:val="00E6076C"/>
    <w:rsid w:val="00E61EA9"/>
    <w:rsid w:val="00E61F7D"/>
    <w:rsid w:val="00E63DB2"/>
    <w:rsid w:val="00E6508B"/>
    <w:rsid w:val="00E7021C"/>
    <w:rsid w:val="00E7323D"/>
    <w:rsid w:val="00E7362B"/>
    <w:rsid w:val="00E7377E"/>
    <w:rsid w:val="00E74832"/>
    <w:rsid w:val="00E76379"/>
    <w:rsid w:val="00E76F2C"/>
    <w:rsid w:val="00E806F2"/>
    <w:rsid w:val="00E80DC6"/>
    <w:rsid w:val="00E81BB7"/>
    <w:rsid w:val="00E82626"/>
    <w:rsid w:val="00E83BA6"/>
    <w:rsid w:val="00E84544"/>
    <w:rsid w:val="00E84C74"/>
    <w:rsid w:val="00E85A27"/>
    <w:rsid w:val="00E86D57"/>
    <w:rsid w:val="00E90D76"/>
    <w:rsid w:val="00E91990"/>
    <w:rsid w:val="00E93D62"/>
    <w:rsid w:val="00E95A7C"/>
    <w:rsid w:val="00E9772E"/>
    <w:rsid w:val="00EA1416"/>
    <w:rsid w:val="00EA17EC"/>
    <w:rsid w:val="00EA3E54"/>
    <w:rsid w:val="00EA5A85"/>
    <w:rsid w:val="00EA68B2"/>
    <w:rsid w:val="00EA7C8D"/>
    <w:rsid w:val="00EB0D60"/>
    <w:rsid w:val="00EB1384"/>
    <w:rsid w:val="00EB5A3A"/>
    <w:rsid w:val="00EB5BC2"/>
    <w:rsid w:val="00EB5CB2"/>
    <w:rsid w:val="00EB67E3"/>
    <w:rsid w:val="00EC0112"/>
    <w:rsid w:val="00EC1DC1"/>
    <w:rsid w:val="00EC2094"/>
    <w:rsid w:val="00EC33B3"/>
    <w:rsid w:val="00EC489A"/>
    <w:rsid w:val="00EC562E"/>
    <w:rsid w:val="00EC601C"/>
    <w:rsid w:val="00EC61C5"/>
    <w:rsid w:val="00EC6358"/>
    <w:rsid w:val="00EC699B"/>
    <w:rsid w:val="00EC6BE8"/>
    <w:rsid w:val="00EC6D35"/>
    <w:rsid w:val="00ED11C1"/>
    <w:rsid w:val="00ED2C6B"/>
    <w:rsid w:val="00ED36DC"/>
    <w:rsid w:val="00ED46AB"/>
    <w:rsid w:val="00ED4A0A"/>
    <w:rsid w:val="00ED6B08"/>
    <w:rsid w:val="00EE199D"/>
    <w:rsid w:val="00EE1BB2"/>
    <w:rsid w:val="00EE1C7F"/>
    <w:rsid w:val="00EE1EC9"/>
    <w:rsid w:val="00EE2CAA"/>
    <w:rsid w:val="00EE3519"/>
    <w:rsid w:val="00EE4BC3"/>
    <w:rsid w:val="00EE68F0"/>
    <w:rsid w:val="00EF1DC3"/>
    <w:rsid w:val="00EF3A55"/>
    <w:rsid w:val="00F01132"/>
    <w:rsid w:val="00F01275"/>
    <w:rsid w:val="00F02D57"/>
    <w:rsid w:val="00F030D0"/>
    <w:rsid w:val="00F04F93"/>
    <w:rsid w:val="00F0565B"/>
    <w:rsid w:val="00F05C4B"/>
    <w:rsid w:val="00F06D17"/>
    <w:rsid w:val="00F136EC"/>
    <w:rsid w:val="00F14A0D"/>
    <w:rsid w:val="00F16D07"/>
    <w:rsid w:val="00F17255"/>
    <w:rsid w:val="00F17A2F"/>
    <w:rsid w:val="00F17D02"/>
    <w:rsid w:val="00F219D7"/>
    <w:rsid w:val="00F21B9C"/>
    <w:rsid w:val="00F22611"/>
    <w:rsid w:val="00F2294A"/>
    <w:rsid w:val="00F22BA1"/>
    <w:rsid w:val="00F22E23"/>
    <w:rsid w:val="00F23DB4"/>
    <w:rsid w:val="00F2447F"/>
    <w:rsid w:val="00F2530E"/>
    <w:rsid w:val="00F2592D"/>
    <w:rsid w:val="00F264E7"/>
    <w:rsid w:val="00F2782F"/>
    <w:rsid w:val="00F302E7"/>
    <w:rsid w:val="00F31163"/>
    <w:rsid w:val="00F31B65"/>
    <w:rsid w:val="00F32845"/>
    <w:rsid w:val="00F33B44"/>
    <w:rsid w:val="00F34002"/>
    <w:rsid w:val="00F361BD"/>
    <w:rsid w:val="00F37B2B"/>
    <w:rsid w:val="00F41353"/>
    <w:rsid w:val="00F4436B"/>
    <w:rsid w:val="00F45C47"/>
    <w:rsid w:val="00F45ED7"/>
    <w:rsid w:val="00F4715C"/>
    <w:rsid w:val="00F47796"/>
    <w:rsid w:val="00F47E99"/>
    <w:rsid w:val="00F501B1"/>
    <w:rsid w:val="00F508D3"/>
    <w:rsid w:val="00F50EA7"/>
    <w:rsid w:val="00F513F9"/>
    <w:rsid w:val="00F52260"/>
    <w:rsid w:val="00F52269"/>
    <w:rsid w:val="00F5251D"/>
    <w:rsid w:val="00F53255"/>
    <w:rsid w:val="00F53B85"/>
    <w:rsid w:val="00F55A85"/>
    <w:rsid w:val="00F55D66"/>
    <w:rsid w:val="00F561B4"/>
    <w:rsid w:val="00F57315"/>
    <w:rsid w:val="00F606B5"/>
    <w:rsid w:val="00F60EFC"/>
    <w:rsid w:val="00F6153D"/>
    <w:rsid w:val="00F63172"/>
    <w:rsid w:val="00F65BE1"/>
    <w:rsid w:val="00F664AF"/>
    <w:rsid w:val="00F674CB"/>
    <w:rsid w:val="00F70A97"/>
    <w:rsid w:val="00F717BB"/>
    <w:rsid w:val="00F727BC"/>
    <w:rsid w:val="00F7457A"/>
    <w:rsid w:val="00F757F3"/>
    <w:rsid w:val="00F760CE"/>
    <w:rsid w:val="00F76EA2"/>
    <w:rsid w:val="00F77B7A"/>
    <w:rsid w:val="00F8011B"/>
    <w:rsid w:val="00F80288"/>
    <w:rsid w:val="00F80F2B"/>
    <w:rsid w:val="00F82854"/>
    <w:rsid w:val="00F83404"/>
    <w:rsid w:val="00F834D2"/>
    <w:rsid w:val="00F83BB2"/>
    <w:rsid w:val="00F841CC"/>
    <w:rsid w:val="00F84BCE"/>
    <w:rsid w:val="00F85C59"/>
    <w:rsid w:val="00F86548"/>
    <w:rsid w:val="00F868DF"/>
    <w:rsid w:val="00F8733B"/>
    <w:rsid w:val="00F90042"/>
    <w:rsid w:val="00F90166"/>
    <w:rsid w:val="00F9192C"/>
    <w:rsid w:val="00F91B8C"/>
    <w:rsid w:val="00F927D3"/>
    <w:rsid w:val="00F93EAA"/>
    <w:rsid w:val="00F95CAB"/>
    <w:rsid w:val="00F9726B"/>
    <w:rsid w:val="00F97979"/>
    <w:rsid w:val="00F979E0"/>
    <w:rsid w:val="00FA06D2"/>
    <w:rsid w:val="00FA43F8"/>
    <w:rsid w:val="00FA48CF"/>
    <w:rsid w:val="00FA7B0A"/>
    <w:rsid w:val="00FA7FEC"/>
    <w:rsid w:val="00FB17E3"/>
    <w:rsid w:val="00FB1FFB"/>
    <w:rsid w:val="00FB4B4E"/>
    <w:rsid w:val="00FB4E7C"/>
    <w:rsid w:val="00FB6147"/>
    <w:rsid w:val="00FB70C2"/>
    <w:rsid w:val="00FC1C49"/>
    <w:rsid w:val="00FC2BB1"/>
    <w:rsid w:val="00FC2D44"/>
    <w:rsid w:val="00FC73AE"/>
    <w:rsid w:val="00FD023F"/>
    <w:rsid w:val="00FD07A5"/>
    <w:rsid w:val="00FD2BAB"/>
    <w:rsid w:val="00FD5245"/>
    <w:rsid w:val="00FD7352"/>
    <w:rsid w:val="00FD784A"/>
    <w:rsid w:val="00FE026E"/>
    <w:rsid w:val="00FE28EE"/>
    <w:rsid w:val="00FE50D0"/>
    <w:rsid w:val="00FE5CC1"/>
    <w:rsid w:val="00FE64C0"/>
    <w:rsid w:val="00FE6761"/>
    <w:rsid w:val="00FE7F65"/>
    <w:rsid w:val="00FF0161"/>
    <w:rsid w:val="00FF29FD"/>
    <w:rsid w:val="00FF3864"/>
    <w:rsid w:val="00FF3CA5"/>
    <w:rsid w:val="00FF6065"/>
    <w:rsid w:val="00FF6D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6D2F5"/>
  <w15:chartTrackingRefBased/>
  <w15:docId w15:val="{55CBCA47-A909-467A-BFC4-71839CB2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1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651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651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651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4572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14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3F6"/>
  </w:style>
  <w:style w:type="paragraph" w:styleId="Footer">
    <w:name w:val="footer"/>
    <w:basedOn w:val="Normal"/>
    <w:link w:val="FooterChar"/>
    <w:uiPriority w:val="99"/>
    <w:unhideWhenUsed/>
    <w:rsid w:val="00B14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3F6"/>
  </w:style>
  <w:style w:type="paragraph" w:customStyle="1" w:styleId="Level2">
    <w:name w:val="Level 2"/>
    <w:basedOn w:val="Normal"/>
    <w:rsid w:val="003719B1"/>
    <w:pPr>
      <w:widowControl w:val="0"/>
      <w:autoSpaceDE w:val="0"/>
      <w:autoSpaceDN w:val="0"/>
      <w:adjustRightInd w:val="0"/>
      <w:spacing w:after="0" w:line="240" w:lineRule="auto"/>
      <w:ind w:left="1440" w:hanging="720"/>
    </w:pPr>
    <w:rPr>
      <w:rFonts w:ascii="Univers" w:eastAsia="Times New Roman" w:hAnsi="Univers" w:cs="Times New Roman"/>
      <w:sz w:val="20"/>
      <w:szCs w:val="24"/>
      <w:lang w:val="en-US"/>
    </w:rPr>
  </w:style>
  <w:style w:type="paragraph" w:customStyle="1" w:styleId="Level1">
    <w:name w:val="Level 1"/>
    <w:basedOn w:val="Normal"/>
    <w:rsid w:val="003719B1"/>
    <w:pPr>
      <w:widowControl w:val="0"/>
      <w:autoSpaceDE w:val="0"/>
      <w:autoSpaceDN w:val="0"/>
      <w:adjustRightInd w:val="0"/>
      <w:spacing w:after="0" w:line="240" w:lineRule="auto"/>
      <w:ind w:left="720" w:hanging="720"/>
    </w:pPr>
    <w:rPr>
      <w:rFonts w:ascii="Univers" w:eastAsia="Times New Roman" w:hAnsi="Univers" w:cs="Times New Roman"/>
      <w:sz w:val="20"/>
      <w:szCs w:val="24"/>
      <w:lang w:val="en-US"/>
    </w:rPr>
  </w:style>
  <w:style w:type="paragraph" w:styleId="NoSpacing">
    <w:name w:val="No Spacing"/>
    <w:link w:val="NoSpacingChar"/>
    <w:qFormat/>
    <w:rsid w:val="003719B1"/>
    <w:pPr>
      <w:spacing w:after="0" w:line="240" w:lineRule="auto"/>
    </w:pPr>
    <w:rPr>
      <w:rFonts w:ascii="Calibri" w:eastAsia="Calibri" w:hAnsi="Calibri" w:cs="Times New Roman"/>
    </w:rPr>
  </w:style>
  <w:style w:type="paragraph" w:styleId="ListParagraph">
    <w:name w:val="List Paragraph"/>
    <w:basedOn w:val="Normal"/>
    <w:uiPriority w:val="34"/>
    <w:qFormat/>
    <w:rsid w:val="00F664AF"/>
    <w:pPr>
      <w:ind w:left="720"/>
      <w:contextualSpacing/>
    </w:pPr>
  </w:style>
  <w:style w:type="character" w:customStyle="1" w:styleId="Heading1Char">
    <w:name w:val="Heading 1 Char"/>
    <w:basedOn w:val="DefaultParagraphFont"/>
    <w:link w:val="Heading1"/>
    <w:uiPriority w:val="9"/>
    <w:rsid w:val="0016511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6511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6511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6511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45725"/>
    <w:rPr>
      <w:rFonts w:asciiTheme="majorHAnsi" w:eastAsiaTheme="majorEastAsia" w:hAnsiTheme="majorHAnsi" w:cstheme="majorBidi"/>
      <w:color w:val="2E74B5" w:themeColor="accent1" w:themeShade="BF"/>
    </w:rPr>
  </w:style>
  <w:style w:type="paragraph" w:styleId="TOCHeading">
    <w:name w:val="TOC Heading"/>
    <w:basedOn w:val="Heading1"/>
    <w:next w:val="Normal"/>
    <w:uiPriority w:val="39"/>
    <w:unhideWhenUsed/>
    <w:qFormat/>
    <w:rsid w:val="00745725"/>
    <w:pPr>
      <w:outlineLvl w:val="9"/>
    </w:pPr>
    <w:rPr>
      <w:lang w:val="en-US"/>
    </w:rPr>
  </w:style>
  <w:style w:type="paragraph" w:styleId="TOC1">
    <w:name w:val="toc 1"/>
    <w:basedOn w:val="Normal"/>
    <w:next w:val="Normal"/>
    <w:autoRedefine/>
    <w:uiPriority w:val="39"/>
    <w:unhideWhenUsed/>
    <w:rsid w:val="00745725"/>
    <w:pPr>
      <w:spacing w:after="100"/>
    </w:pPr>
  </w:style>
  <w:style w:type="paragraph" w:styleId="TOC2">
    <w:name w:val="toc 2"/>
    <w:basedOn w:val="Normal"/>
    <w:next w:val="Normal"/>
    <w:autoRedefine/>
    <w:uiPriority w:val="39"/>
    <w:unhideWhenUsed/>
    <w:rsid w:val="00745725"/>
    <w:pPr>
      <w:spacing w:after="100"/>
      <w:ind w:left="220"/>
    </w:pPr>
  </w:style>
  <w:style w:type="character" w:styleId="Hyperlink">
    <w:name w:val="Hyperlink"/>
    <w:basedOn w:val="DefaultParagraphFont"/>
    <w:uiPriority w:val="99"/>
    <w:unhideWhenUsed/>
    <w:rsid w:val="00745725"/>
    <w:rPr>
      <w:color w:val="0563C1" w:themeColor="hyperlink"/>
      <w:u w:val="single"/>
    </w:rPr>
  </w:style>
  <w:style w:type="paragraph" w:styleId="TOC3">
    <w:name w:val="toc 3"/>
    <w:basedOn w:val="Normal"/>
    <w:next w:val="Normal"/>
    <w:autoRedefine/>
    <w:uiPriority w:val="39"/>
    <w:unhideWhenUsed/>
    <w:rsid w:val="00745725"/>
    <w:pPr>
      <w:spacing w:after="100"/>
      <w:ind w:left="440"/>
    </w:pPr>
    <w:rPr>
      <w:rFonts w:eastAsiaTheme="minorEastAsia" w:cs="Times New Roman"/>
      <w:lang w:val="en-US"/>
    </w:rPr>
  </w:style>
  <w:style w:type="paragraph" w:styleId="BalloonText">
    <w:name w:val="Balloon Text"/>
    <w:basedOn w:val="Normal"/>
    <w:link w:val="BalloonTextChar"/>
    <w:uiPriority w:val="99"/>
    <w:semiHidden/>
    <w:unhideWhenUsed/>
    <w:rsid w:val="00F219D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219D7"/>
    <w:rPr>
      <w:rFonts w:ascii="Times New Roman" w:hAnsi="Times New Roman" w:cs="Times New Roman"/>
      <w:sz w:val="18"/>
      <w:szCs w:val="18"/>
    </w:rPr>
  </w:style>
  <w:style w:type="paragraph" w:styleId="Revision">
    <w:name w:val="Revision"/>
    <w:hidden/>
    <w:uiPriority w:val="99"/>
    <w:semiHidden/>
    <w:rsid w:val="00365D82"/>
    <w:pPr>
      <w:spacing w:after="0" w:line="240" w:lineRule="auto"/>
    </w:pPr>
  </w:style>
  <w:style w:type="character" w:styleId="CommentReference">
    <w:name w:val="annotation reference"/>
    <w:basedOn w:val="DefaultParagraphFont"/>
    <w:uiPriority w:val="99"/>
    <w:semiHidden/>
    <w:unhideWhenUsed/>
    <w:rsid w:val="00492F9C"/>
    <w:rPr>
      <w:sz w:val="18"/>
      <w:szCs w:val="18"/>
    </w:rPr>
  </w:style>
  <w:style w:type="paragraph" w:styleId="CommentText">
    <w:name w:val="annotation text"/>
    <w:basedOn w:val="Normal"/>
    <w:link w:val="CommentTextChar"/>
    <w:uiPriority w:val="99"/>
    <w:semiHidden/>
    <w:unhideWhenUsed/>
    <w:rsid w:val="00492F9C"/>
    <w:pPr>
      <w:spacing w:line="240" w:lineRule="auto"/>
    </w:pPr>
    <w:rPr>
      <w:sz w:val="24"/>
      <w:szCs w:val="24"/>
    </w:rPr>
  </w:style>
  <w:style w:type="character" w:customStyle="1" w:styleId="CommentTextChar">
    <w:name w:val="Comment Text Char"/>
    <w:basedOn w:val="DefaultParagraphFont"/>
    <w:link w:val="CommentText"/>
    <w:uiPriority w:val="99"/>
    <w:semiHidden/>
    <w:rsid w:val="00492F9C"/>
    <w:rPr>
      <w:sz w:val="24"/>
      <w:szCs w:val="24"/>
    </w:rPr>
  </w:style>
  <w:style w:type="paragraph" w:styleId="CommentSubject">
    <w:name w:val="annotation subject"/>
    <w:basedOn w:val="CommentText"/>
    <w:next w:val="CommentText"/>
    <w:link w:val="CommentSubjectChar"/>
    <w:uiPriority w:val="99"/>
    <w:semiHidden/>
    <w:unhideWhenUsed/>
    <w:rsid w:val="00492F9C"/>
    <w:rPr>
      <w:b/>
      <w:bCs/>
      <w:sz w:val="20"/>
      <w:szCs w:val="20"/>
    </w:rPr>
  </w:style>
  <w:style w:type="character" w:customStyle="1" w:styleId="CommentSubjectChar">
    <w:name w:val="Comment Subject Char"/>
    <w:basedOn w:val="CommentTextChar"/>
    <w:link w:val="CommentSubject"/>
    <w:uiPriority w:val="99"/>
    <w:semiHidden/>
    <w:rsid w:val="00492F9C"/>
    <w:rPr>
      <w:b/>
      <w:bCs/>
      <w:sz w:val="20"/>
      <w:szCs w:val="20"/>
    </w:rPr>
  </w:style>
  <w:style w:type="table" w:styleId="TableGrid">
    <w:name w:val="Table Grid"/>
    <w:basedOn w:val="TableNormal"/>
    <w:uiPriority w:val="39"/>
    <w:rsid w:val="00C83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143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20E2D"/>
    <w:rPr>
      <w:color w:val="605E5C"/>
      <w:shd w:val="clear" w:color="auto" w:fill="E1DFDD"/>
    </w:rPr>
  </w:style>
  <w:style w:type="character" w:customStyle="1" w:styleId="NoSpacingChar">
    <w:name w:val="No Spacing Char"/>
    <w:basedOn w:val="DefaultParagraphFont"/>
    <w:link w:val="NoSpacing"/>
    <w:uiPriority w:val="1"/>
    <w:locked/>
    <w:rsid w:val="008D3E9D"/>
    <w:rPr>
      <w:rFonts w:ascii="Calibri" w:eastAsia="Calibri" w:hAnsi="Calibri" w:cs="Times New Roman"/>
    </w:rPr>
  </w:style>
  <w:style w:type="character" w:styleId="FollowedHyperlink">
    <w:name w:val="FollowedHyperlink"/>
    <w:basedOn w:val="DefaultParagraphFont"/>
    <w:uiPriority w:val="99"/>
    <w:semiHidden/>
    <w:unhideWhenUsed/>
    <w:rsid w:val="000026A9"/>
    <w:rPr>
      <w:color w:val="954F72" w:themeColor="followedHyperlink"/>
      <w:u w:val="single"/>
    </w:rPr>
  </w:style>
  <w:style w:type="paragraph" w:customStyle="1" w:styleId="msonormal0">
    <w:name w:val="msonormal"/>
    <w:basedOn w:val="Normal"/>
    <w:rsid w:val="002528F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5">
    <w:name w:val="xl65"/>
    <w:basedOn w:val="Normal"/>
    <w:rsid w:val="002528F9"/>
    <w:pPr>
      <w:pBdr>
        <w:top w:val="single" w:sz="4" w:space="0" w:color="D3D3D3"/>
        <w:left w:val="single" w:sz="4" w:space="0" w:color="D3D3D3"/>
        <w:bottom w:val="single" w:sz="4" w:space="0" w:color="D3D3D3"/>
        <w:right w:val="single" w:sz="4" w:space="0" w:color="D3D3D3"/>
      </w:pBdr>
      <w:shd w:val="clear" w:color="000000" w:fill="6E9ECA"/>
      <w:spacing w:before="100" w:beforeAutospacing="1" w:after="100" w:afterAutospacing="1" w:line="240" w:lineRule="auto"/>
      <w:jc w:val="center"/>
      <w:textAlignment w:val="top"/>
    </w:pPr>
    <w:rPr>
      <w:rFonts w:ascii="Times New Roman" w:eastAsia="Times New Roman" w:hAnsi="Times New Roman" w:cs="Times New Roman"/>
      <w:b/>
      <w:bCs/>
      <w:color w:val="FFFFFF"/>
      <w:sz w:val="16"/>
      <w:szCs w:val="16"/>
      <w:lang w:eastAsia="en-CA"/>
    </w:rPr>
  </w:style>
  <w:style w:type="paragraph" w:customStyle="1" w:styleId="xl66">
    <w:name w:val="xl66"/>
    <w:basedOn w:val="Normal"/>
    <w:rsid w:val="002528F9"/>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Lato" w:eastAsia="Times New Roman" w:hAnsi="Lato" w:cs="Times New Roman"/>
      <w:sz w:val="18"/>
      <w:szCs w:val="18"/>
      <w:lang w:eastAsia="en-CA"/>
    </w:rPr>
  </w:style>
  <w:style w:type="paragraph" w:customStyle="1" w:styleId="xl67">
    <w:name w:val="xl67"/>
    <w:basedOn w:val="Normal"/>
    <w:rsid w:val="002528F9"/>
    <w:pPr>
      <w:pBdr>
        <w:top w:val="single" w:sz="4" w:space="0" w:color="D3D3D3"/>
        <w:left w:val="single" w:sz="4" w:space="0" w:color="D3D3D3"/>
        <w:bottom w:val="single" w:sz="4" w:space="0" w:color="D3D3D3"/>
        <w:right w:val="single" w:sz="4" w:space="0" w:color="D3D3D3"/>
      </w:pBdr>
      <w:shd w:val="clear" w:color="000000" w:fill="6E9ECA"/>
      <w:spacing w:before="100" w:beforeAutospacing="1" w:after="100" w:afterAutospacing="1" w:line="240" w:lineRule="auto"/>
      <w:textAlignment w:val="top"/>
    </w:pPr>
    <w:rPr>
      <w:rFonts w:ascii="Lato" w:eastAsia="Times New Roman" w:hAnsi="Lato" w:cs="Times New Roman"/>
      <w:b/>
      <w:bCs/>
      <w:color w:val="FFFFFF"/>
      <w:sz w:val="18"/>
      <w:szCs w:val="18"/>
      <w:lang w:eastAsia="en-CA"/>
    </w:rPr>
  </w:style>
  <w:style w:type="paragraph" w:customStyle="1" w:styleId="xl68">
    <w:name w:val="xl68"/>
    <w:basedOn w:val="Normal"/>
    <w:rsid w:val="002528F9"/>
    <w:pPr>
      <w:pBdr>
        <w:top w:val="single" w:sz="4" w:space="0" w:color="D3D3D3"/>
        <w:left w:val="single" w:sz="4" w:space="0" w:color="D3D3D3"/>
        <w:bottom w:val="single" w:sz="4" w:space="0" w:color="D3D3D3"/>
        <w:right w:val="single" w:sz="4" w:space="0" w:color="D3D3D3"/>
      </w:pBdr>
      <w:shd w:val="clear" w:color="000000" w:fill="6E9ECA"/>
      <w:spacing w:before="100" w:beforeAutospacing="1" w:after="100" w:afterAutospacing="1" w:line="240" w:lineRule="auto"/>
      <w:textAlignment w:val="top"/>
    </w:pPr>
    <w:rPr>
      <w:rFonts w:ascii="Lato" w:eastAsia="Times New Roman" w:hAnsi="Lato" w:cs="Times New Roman"/>
      <w:color w:val="FFFFFF"/>
      <w:sz w:val="18"/>
      <w:szCs w:val="18"/>
      <w:lang w:eastAsia="en-CA"/>
    </w:rPr>
  </w:style>
  <w:style w:type="paragraph" w:customStyle="1" w:styleId="xl69">
    <w:name w:val="xl69"/>
    <w:basedOn w:val="Normal"/>
    <w:rsid w:val="002528F9"/>
    <w:pPr>
      <w:pBdr>
        <w:top w:val="single" w:sz="4" w:space="0" w:color="D3D3D3"/>
        <w:left w:val="single" w:sz="4" w:space="0" w:color="D3D3D3"/>
        <w:bottom w:val="single" w:sz="4" w:space="0" w:color="D3D3D3"/>
        <w:right w:val="single" w:sz="4" w:space="0" w:color="D3D3D3"/>
      </w:pBdr>
      <w:shd w:val="clear" w:color="000000" w:fill="708090"/>
      <w:spacing w:before="100" w:beforeAutospacing="1" w:after="100" w:afterAutospacing="1" w:line="240" w:lineRule="auto"/>
      <w:textAlignment w:val="top"/>
    </w:pPr>
    <w:rPr>
      <w:rFonts w:ascii="Lato" w:eastAsia="Times New Roman" w:hAnsi="Lato" w:cs="Times New Roman"/>
      <w:color w:val="FFFFFF"/>
      <w:sz w:val="18"/>
      <w:szCs w:val="18"/>
      <w:lang w:eastAsia="en-CA"/>
    </w:rPr>
  </w:style>
  <w:style w:type="paragraph" w:customStyle="1" w:styleId="xl70">
    <w:name w:val="xl70"/>
    <w:basedOn w:val="Normal"/>
    <w:rsid w:val="002528F9"/>
    <w:pPr>
      <w:pBdr>
        <w:top w:val="single" w:sz="4" w:space="0" w:color="D3D3D3"/>
        <w:left w:val="single" w:sz="4" w:space="0" w:color="D3D3D3"/>
        <w:right w:val="single" w:sz="4" w:space="0" w:color="D3D3D3"/>
      </w:pBdr>
      <w:spacing w:before="100" w:beforeAutospacing="1" w:after="100" w:afterAutospacing="1" w:line="240" w:lineRule="auto"/>
      <w:jc w:val="center"/>
      <w:textAlignment w:val="center"/>
    </w:pPr>
    <w:rPr>
      <w:rFonts w:ascii="Lato" w:eastAsia="Times New Roman" w:hAnsi="Lato" w:cs="Times New Roman"/>
      <w:sz w:val="18"/>
      <w:szCs w:val="18"/>
      <w:lang w:eastAsia="en-CA"/>
    </w:rPr>
  </w:style>
  <w:style w:type="paragraph" w:customStyle="1" w:styleId="xl71">
    <w:name w:val="xl71"/>
    <w:basedOn w:val="Normal"/>
    <w:rsid w:val="002528F9"/>
    <w:pPr>
      <w:pBdr>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Lato" w:eastAsia="Times New Roman" w:hAnsi="Lato" w:cs="Times New Roman"/>
      <w:sz w:val="18"/>
      <w:szCs w:val="18"/>
      <w:lang w:eastAsia="en-CA"/>
    </w:rPr>
  </w:style>
  <w:style w:type="paragraph" w:customStyle="1" w:styleId="xl72">
    <w:name w:val="xl72"/>
    <w:basedOn w:val="Normal"/>
    <w:rsid w:val="002528F9"/>
    <w:pPr>
      <w:pBdr>
        <w:top w:val="single" w:sz="4" w:space="0" w:color="auto"/>
        <w:left w:val="single" w:sz="4" w:space="0" w:color="D3D3D3"/>
        <w:bottom w:val="single" w:sz="4" w:space="0" w:color="auto"/>
        <w:right w:val="single" w:sz="4" w:space="0" w:color="D3D3D3"/>
      </w:pBdr>
      <w:spacing w:before="100" w:beforeAutospacing="1" w:after="100" w:afterAutospacing="1" w:line="240" w:lineRule="auto"/>
      <w:jc w:val="center"/>
      <w:textAlignment w:val="center"/>
    </w:pPr>
    <w:rPr>
      <w:rFonts w:ascii="Lato" w:eastAsia="Times New Roman" w:hAnsi="Lato" w:cs="Times New Roman"/>
      <w:sz w:val="18"/>
      <w:szCs w:val="18"/>
      <w:lang w:eastAsia="en-CA"/>
    </w:rPr>
  </w:style>
  <w:style w:type="paragraph" w:customStyle="1" w:styleId="xl73">
    <w:name w:val="xl73"/>
    <w:basedOn w:val="Normal"/>
    <w:rsid w:val="002528F9"/>
    <w:pPr>
      <w:pBdr>
        <w:left w:val="single" w:sz="4" w:space="0" w:color="D3D3D3"/>
        <w:right w:val="single" w:sz="4" w:space="0" w:color="D3D3D3"/>
      </w:pBdr>
      <w:spacing w:before="100" w:beforeAutospacing="1" w:after="100" w:afterAutospacing="1" w:line="240" w:lineRule="auto"/>
      <w:jc w:val="center"/>
      <w:textAlignment w:val="center"/>
    </w:pPr>
    <w:rPr>
      <w:rFonts w:ascii="Lato" w:eastAsia="Times New Roman" w:hAnsi="Lato" w:cs="Times New Roman"/>
      <w:sz w:val="18"/>
      <w:szCs w:val="18"/>
      <w:lang w:eastAsia="en-CA"/>
    </w:rPr>
  </w:style>
  <w:style w:type="paragraph" w:customStyle="1" w:styleId="xl74">
    <w:name w:val="xl74"/>
    <w:basedOn w:val="Normal"/>
    <w:rsid w:val="00252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sz w:val="18"/>
      <w:szCs w:val="18"/>
      <w:lang w:eastAsia="en-CA"/>
    </w:rPr>
  </w:style>
  <w:style w:type="paragraph" w:customStyle="1" w:styleId="xl75">
    <w:name w:val="xl75"/>
    <w:basedOn w:val="Normal"/>
    <w:rsid w:val="00252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sz w:val="18"/>
      <w:szCs w:val="1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4638">
      <w:bodyDiv w:val="1"/>
      <w:marLeft w:val="0"/>
      <w:marRight w:val="0"/>
      <w:marTop w:val="0"/>
      <w:marBottom w:val="0"/>
      <w:divBdr>
        <w:top w:val="none" w:sz="0" w:space="0" w:color="auto"/>
        <w:left w:val="none" w:sz="0" w:space="0" w:color="auto"/>
        <w:bottom w:val="none" w:sz="0" w:space="0" w:color="auto"/>
        <w:right w:val="none" w:sz="0" w:space="0" w:color="auto"/>
      </w:divBdr>
    </w:div>
    <w:div w:id="42100271">
      <w:bodyDiv w:val="1"/>
      <w:marLeft w:val="0"/>
      <w:marRight w:val="0"/>
      <w:marTop w:val="0"/>
      <w:marBottom w:val="0"/>
      <w:divBdr>
        <w:top w:val="none" w:sz="0" w:space="0" w:color="auto"/>
        <w:left w:val="none" w:sz="0" w:space="0" w:color="auto"/>
        <w:bottom w:val="none" w:sz="0" w:space="0" w:color="auto"/>
        <w:right w:val="none" w:sz="0" w:space="0" w:color="auto"/>
      </w:divBdr>
    </w:div>
    <w:div w:id="45107379">
      <w:bodyDiv w:val="1"/>
      <w:marLeft w:val="0"/>
      <w:marRight w:val="0"/>
      <w:marTop w:val="0"/>
      <w:marBottom w:val="0"/>
      <w:divBdr>
        <w:top w:val="none" w:sz="0" w:space="0" w:color="auto"/>
        <w:left w:val="none" w:sz="0" w:space="0" w:color="auto"/>
        <w:bottom w:val="none" w:sz="0" w:space="0" w:color="auto"/>
        <w:right w:val="none" w:sz="0" w:space="0" w:color="auto"/>
      </w:divBdr>
    </w:div>
    <w:div w:id="68120765">
      <w:bodyDiv w:val="1"/>
      <w:marLeft w:val="0"/>
      <w:marRight w:val="0"/>
      <w:marTop w:val="0"/>
      <w:marBottom w:val="0"/>
      <w:divBdr>
        <w:top w:val="none" w:sz="0" w:space="0" w:color="auto"/>
        <w:left w:val="none" w:sz="0" w:space="0" w:color="auto"/>
        <w:bottom w:val="none" w:sz="0" w:space="0" w:color="auto"/>
        <w:right w:val="none" w:sz="0" w:space="0" w:color="auto"/>
      </w:divBdr>
    </w:div>
    <w:div w:id="73749112">
      <w:bodyDiv w:val="1"/>
      <w:marLeft w:val="0"/>
      <w:marRight w:val="0"/>
      <w:marTop w:val="0"/>
      <w:marBottom w:val="0"/>
      <w:divBdr>
        <w:top w:val="none" w:sz="0" w:space="0" w:color="auto"/>
        <w:left w:val="none" w:sz="0" w:space="0" w:color="auto"/>
        <w:bottom w:val="none" w:sz="0" w:space="0" w:color="auto"/>
        <w:right w:val="none" w:sz="0" w:space="0" w:color="auto"/>
      </w:divBdr>
    </w:div>
    <w:div w:id="77143882">
      <w:bodyDiv w:val="1"/>
      <w:marLeft w:val="0"/>
      <w:marRight w:val="0"/>
      <w:marTop w:val="0"/>
      <w:marBottom w:val="0"/>
      <w:divBdr>
        <w:top w:val="none" w:sz="0" w:space="0" w:color="auto"/>
        <w:left w:val="none" w:sz="0" w:space="0" w:color="auto"/>
        <w:bottom w:val="none" w:sz="0" w:space="0" w:color="auto"/>
        <w:right w:val="none" w:sz="0" w:space="0" w:color="auto"/>
      </w:divBdr>
    </w:div>
    <w:div w:id="77601153">
      <w:bodyDiv w:val="1"/>
      <w:marLeft w:val="0"/>
      <w:marRight w:val="0"/>
      <w:marTop w:val="0"/>
      <w:marBottom w:val="0"/>
      <w:divBdr>
        <w:top w:val="none" w:sz="0" w:space="0" w:color="auto"/>
        <w:left w:val="none" w:sz="0" w:space="0" w:color="auto"/>
        <w:bottom w:val="none" w:sz="0" w:space="0" w:color="auto"/>
        <w:right w:val="none" w:sz="0" w:space="0" w:color="auto"/>
      </w:divBdr>
    </w:div>
    <w:div w:id="88083938">
      <w:bodyDiv w:val="1"/>
      <w:marLeft w:val="0"/>
      <w:marRight w:val="0"/>
      <w:marTop w:val="0"/>
      <w:marBottom w:val="0"/>
      <w:divBdr>
        <w:top w:val="none" w:sz="0" w:space="0" w:color="auto"/>
        <w:left w:val="none" w:sz="0" w:space="0" w:color="auto"/>
        <w:bottom w:val="none" w:sz="0" w:space="0" w:color="auto"/>
        <w:right w:val="none" w:sz="0" w:space="0" w:color="auto"/>
      </w:divBdr>
    </w:div>
    <w:div w:id="94056271">
      <w:bodyDiv w:val="1"/>
      <w:marLeft w:val="0"/>
      <w:marRight w:val="0"/>
      <w:marTop w:val="0"/>
      <w:marBottom w:val="0"/>
      <w:divBdr>
        <w:top w:val="none" w:sz="0" w:space="0" w:color="auto"/>
        <w:left w:val="none" w:sz="0" w:space="0" w:color="auto"/>
        <w:bottom w:val="none" w:sz="0" w:space="0" w:color="auto"/>
        <w:right w:val="none" w:sz="0" w:space="0" w:color="auto"/>
      </w:divBdr>
    </w:div>
    <w:div w:id="107744834">
      <w:bodyDiv w:val="1"/>
      <w:marLeft w:val="0"/>
      <w:marRight w:val="0"/>
      <w:marTop w:val="0"/>
      <w:marBottom w:val="0"/>
      <w:divBdr>
        <w:top w:val="none" w:sz="0" w:space="0" w:color="auto"/>
        <w:left w:val="none" w:sz="0" w:space="0" w:color="auto"/>
        <w:bottom w:val="none" w:sz="0" w:space="0" w:color="auto"/>
        <w:right w:val="none" w:sz="0" w:space="0" w:color="auto"/>
      </w:divBdr>
    </w:div>
    <w:div w:id="118913305">
      <w:bodyDiv w:val="1"/>
      <w:marLeft w:val="0"/>
      <w:marRight w:val="0"/>
      <w:marTop w:val="0"/>
      <w:marBottom w:val="0"/>
      <w:divBdr>
        <w:top w:val="none" w:sz="0" w:space="0" w:color="auto"/>
        <w:left w:val="none" w:sz="0" w:space="0" w:color="auto"/>
        <w:bottom w:val="none" w:sz="0" w:space="0" w:color="auto"/>
        <w:right w:val="none" w:sz="0" w:space="0" w:color="auto"/>
      </w:divBdr>
    </w:div>
    <w:div w:id="123499518">
      <w:bodyDiv w:val="1"/>
      <w:marLeft w:val="0"/>
      <w:marRight w:val="0"/>
      <w:marTop w:val="0"/>
      <w:marBottom w:val="0"/>
      <w:divBdr>
        <w:top w:val="none" w:sz="0" w:space="0" w:color="auto"/>
        <w:left w:val="none" w:sz="0" w:space="0" w:color="auto"/>
        <w:bottom w:val="none" w:sz="0" w:space="0" w:color="auto"/>
        <w:right w:val="none" w:sz="0" w:space="0" w:color="auto"/>
      </w:divBdr>
    </w:div>
    <w:div w:id="177307239">
      <w:bodyDiv w:val="1"/>
      <w:marLeft w:val="0"/>
      <w:marRight w:val="0"/>
      <w:marTop w:val="0"/>
      <w:marBottom w:val="0"/>
      <w:divBdr>
        <w:top w:val="none" w:sz="0" w:space="0" w:color="auto"/>
        <w:left w:val="none" w:sz="0" w:space="0" w:color="auto"/>
        <w:bottom w:val="none" w:sz="0" w:space="0" w:color="auto"/>
        <w:right w:val="none" w:sz="0" w:space="0" w:color="auto"/>
      </w:divBdr>
    </w:div>
    <w:div w:id="185336748">
      <w:bodyDiv w:val="1"/>
      <w:marLeft w:val="0"/>
      <w:marRight w:val="0"/>
      <w:marTop w:val="0"/>
      <w:marBottom w:val="0"/>
      <w:divBdr>
        <w:top w:val="none" w:sz="0" w:space="0" w:color="auto"/>
        <w:left w:val="none" w:sz="0" w:space="0" w:color="auto"/>
        <w:bottom w:val="none" w:sz="0" w:space="0" w:color="auto"/>
        <w:right w:val="none" w:sz="0" w:space="0" w:color="auto"/>
      </w:divBdr>
    </w:div>
    <w:div w:id="213548753">
      <w:bodyDiv w:val="1"/>
      <w:marLeft w:val="0"/>
      <w:marRight w:val="0"/>
      <w:marTop w:val="0"/>
      <w:marBottom w:val="0"/>
      <w:divBdr>
        <w:top w:val="none" w:sz="0" w:space="0" w:color="auto"/>
        <w:left w:val="none" w:sz="0" w:space="0" w:color="auto"/>
        <w:bottom w:val="none" w:sz="0" w:space="0" w:color="auto"/>
        <w:right w:val="none" w:sz="0" w:space="0" w:color="auto"/>
      </w:divBdr>
    </w:div>
    <w:div w:id="213584580">
      <w:bodyDiv w:val="1"/>
      <w:marLeft w:val="0"/>
      <w:marRight w:val="0"/>
      <w:marTop w:val="0"/>
      <w:marBottom w:val="0"/>
      <w:divBdr>
        <w:top w:val="none" w:sz="0" w:space="0" w:color="auto"/>
        <w:left w:val="none" w:sz="0" w:space="0" w:color="auto"/>
        <w:bottom w:val="none" w:sz="0" w:space="0" w:color="auto"/>
        <w:right w:val="none" w:sz="0" w:space="0" w:color="auto"/>
      </w:divBdr>
    </w:div>
    <w:div w:id="217864677">
      <w:bodyDiv w:val="1"/>
      <w:marLeft w:val="0"/>
      <w:marRight w:val="0"/>
      <w:marTop w:val="0"/>
      <w:marBottom w:val="0"/>
      <w:divBdr>
        <w:top w:val="none" w:sz="0" w:space="0" w:color="auto"/>
        <w:left w:val="none" w:sz="0" w:space="0" w:color="auto"/>
        <w:bottom w:val="none" w:sz="0" w:space="0" w:color="auto"/>
        <w:right w:val="none" w:sz="0" w:space="0" w:color="auto"/>
      </w:divBdr>
    </w:div>
    <w:div w:id="221522966">
      <w:bodyDiv w:val="1"/>
      <w:marLeft w:val="0"/>
      <w:marRight w:val="0"/>
      <w:marTop w:val="0"/>
      <w:marBottom w:val="0"/>
      <w:divBdr>
        <w:top w:val="none" w:sz="0" w:space="0" w:color="auto"/>
        <w:left w:val="none" w:sz="0" w:space="0" w:color="auto"/>
        <w:bottom w:val="none" w:sz="0" w:space="0" w:color="auto"/>
        <w:right w:val="none" w:sz="0" w:space="0" w:color="auto"/>
      </w:divBdr>
    </w:div>
    <w:div w:id="258561592">
      <w:bodyDiv w:val="1"/>
      <w:marLeft w:val="0"/>
      <w:marRight w:val="0"/>
      <w:marTop w:val="0"/>
      <w:marBottom w:val="0"/>
      <w:divBdr>
        <w:top w:val="none" w:sz="0" w:space="0" w:color="auto"/>
        <w:left w:val="none" w:sz="0" w:space="0" w:color="auto"/>
        <w:bottom w:val="none" w:sz="0" w:space="0" w:color="auto"/>
        <w:right w:val="none" w:sz="0" w:space="0" w:color="auto"/>
      </w:divBdr>
    </w:div>
    <w:div w:id="266355897">
      <w:bodyDiv w:val="1"/>
      <w:marLeft w:val="0"/>
      <w:marRight w:val="0"/>
      <w:marTop w:val="0"/>
      <w:marBottom w:val="0"/>
      <w:divBdr>
        <w:top w:val="none" w:sz="0" w:space="0" w:color="auto"/>
        <w:left w:val="none" w:sz="0" w:space="0" w:color="auto"/>
        <w:bottom w:val="none" w:sz="0" w:space="0" w:color="auto"/>
        <w:right w:val="none" w:sz="0" w:space="0" w:color="auto"/>
      </w:divBdr>
      <w:divsChild>
        <w:div w:id="169636934">
          <w:marLeft w:val="0"/>
          <w:marRight w:val="0"/>
          <w:marTop w:val="0"/>
          <w:marBottom w:val="0"/>
          <w:divBdr>
            <w:top w:val="none" w:sz="0" w:space="0" w:color="auto"/>
            <w:left w:val="none" w:sz="0" w:space="0" w:color="auto"/>
            <w:bottom w:val="none" w:sz="0" w:space="0" w:color="auto"/>
            <w:right w:val="none" w:sz="0" w:space="0" w:color="auto"/>
          </w:divBdr>
        </w:div>
        <w:div w:id="186994057">
          <w:marLeft w:val="0"/>
          <w:marRight w:val="0"/>
          <w:marTop w:val="0"/>
          <w:marBottom w:val="0"/>
          <w:divBdr>
            <w:top w:val="none" w:sz="0" w:space="0" w:color="auto"/>
            <w:left w:val="none" w:sz="0" w:space="0" w:color="auto"/>
            <w:bottom w:val="none" w:sz="0" w:space="0" w:color="auto"/>
            <w:right w:val="none" w:sz="0" w:space="0" w:color="auto"/>
          </w:divBdr>
        </w:div>
        <w:div w:id="249850551">
          <w:marLeft w:val="0"/>
          <w:marRight w:val="0"/>
          <w:marTop w:val="0"/>
          <w:marBottom w:val="0"/>
          <w:divBdr>
            <w:top w:val="none" w:sz="0" w:space="0" w:color="auto"/>
            <w:left w:val="none" w:sz="0" w:space="0" w:color="auto"/>
            <w:bottom w:val="none" w:sz="0" w:space="0" w:color="auto"/>
            <w:right w:val="none" w:sz="0" w:space="0" w:color="auto"/>
          </w:divBdr>
        </w:div>
        <w:div w:id="501745029">
          <w:marLeft w:val="0"/>
          <w:marRight w:val="0"/>
          <w:marTop w:val="0"/>
          <w:marBottom w:val="0"/>
          <w:divBdr>
            <w:top w:val="none" w:sz="0" w:space="0" w:color="auto"/>
            <w:left w:val="none" w:sz="0" w:space="0" w:color="auto"/>
            <w:bottom w:val="none" w:sz="0" w:space="0" w:color="auto"/>
            <w:right w:val="none" w:sz="0" w:space="0" w:color="auto"/>
          </w:divBdr>
        </w:div>
        <w:div w:id="974986712">
          <w:marLeft w:val="0"/>
          <w:marRight w:val="0"/>
          <w:marTop w:val="0"/>
          <w:marBottom w:val="0"/>
          <w:divBdr>
            <w:top w:val="none" w:sz="0" w:space="0" w:color="auto"/>
            <w:left w:val="none" w:sz="0" w:space="0" w:color="auto"/>
            <w:bottom w:val="none" w:sz="0" w:space="0" w:color="auto"/>
            <w:right w:val="none" w:sz="0" w:space="0" w:color="auto"/>
          </w:divBdr>
        </w:div>
        <w:div w:id="1022319123">
          <w:marLeft w:val="0"/>
          <w:marRight w:val="0"/>
          <w:marTop w:val="0"/>
          <w:marBottom w:val="0"/>
          <w:divBdr>
            <w:top w:val="none" w:sz="0" w:space="0" w:color="auto"/>
            <w:left w:val="none" w:sz="0" w:space="0" w:color="auto"/>
            <w:bottom w:val="none" w:sz="0" w:space="0" w:color="auto"/>
            <w:right w:val="none" w:sz="0" w:space="0" w:color="auto"/>
          </w:divBdr>
        </w:div>
        <w:div w:id="1419593488">
          <w:marLeft w:val="0"/>
          <w:marRight w:val="0"/>
          <w:marTop w:val="0"/>
          <w:marBottom w:val="0"/>
          <w:divBdr>
            <w:top w:val="none" w:sz="0" w:space="0" w:color="auto"/>
            <w:left w:val="none" w:sz="0" w:space="0" w:color="auto"/>
            <w:bottom w:val="none" w:sz="0" w:space="0" w:color="auto"/>
            <w:right w:val="none" w:sz="0" w:space="0" w:color="auto"/>
          </w:divBdr>
        </w:div>
        <w:div w:id="1446660645">
          <w:marLeft w:val="0"/>
          <w:marRight w:val="0"/>
          <w:marTop w:val="0"/>
          <w:marBottom w:val="0"/>
          <w:divBdr>
            <w:top w:val="none" w:sz="0" w:space="0" w:color="auto"/>
            <w:left w:val="none" w:sz="0" w:space="0" w:color="auto"/>
            <w:bottom w:val="none" w:sz="0" w:space="0" w:color="auto"/>
            <w:right w:val="none" w:sz="0" w:space="0" w:color="auto"/>
          </w:divBdr>
        </w:div>
      </w:divsChild>
    </w:div>
    <w:div w:id="290863767">
      <w:bodyDiv w:val="1"/>
      <w:marLeft w:val="0"/>
      <w:marRight w:val="0"/>
      <w:marTop w:val="0"/>
      <w:marBottom w:val="0"/>
      <w:divBdr>
        <w:top w:val="none" w:sz="0" w:space="0" w:color="auto"/>
        <w:left w:val="none" w:sz="0" w:space="0" w:color="auto"/>
        <w:bottom w:val="none" w:sz="0" w:space="0" w:color="auto"/>
        <w:right w:val="none" w:sz="0" w:space="0" w:color="auto"/>
      </w:divBdr>
    </w:div>
    <w:div w:id="302002787">
      <w:bodyDiv w:val="1"/>
      <w:marLeft w:val="0"/>
      <w:marRight w:val="0"/>
      <w:marTop w:val="0"/>
      <w:marBottom w:val="0"/>
      <w:divBdr>
        <w:top w:val="none" w:sz="0" w:space="0" w:color="auto"/>
        <w:left w:val="none" w:sz="0" w:space="0" w:color="auto"/>
        <w:bottom w:val="none" w:sz="0" w:space="0" w:color="auto"/>
        <w:right w:val="none" w:sz="0" w:space="0" w:color="auto"/>
      </w:divBdr>
      <w:divsChild>
        <w:div w:id="144054845">
          <w:marLeft w:val="0"/>
          <w:marRight w:val="0"/>
          <w:marTop w:val="0"/>
          <w:marBottom w:val="0"/>
          <w:divBdr>
            <w:top w:val="none" w:sz="0" w:space="0" w:color="auto"/>
            <w:left w:val="none" w:sz="0" w:space="0" w:color="auto"/>
            <w:bottom w:val="none" w:sz="0" w:space="0" w:color="auto"/>
            <w:right w:val="none" w:sz="0" w:space="0" w:color="auto"/>
          </w:divBdr>
        </w:div>
        <w:div w:id="231276712">
          <w:marLeft w:val="0"/>
          <w:marRight w:val="0"/>
          <w:marTop w:val="0"/>
          <w:marBottom w:val="0"/>
          <w:divBdr>
            <w:top w:val="none" w:sz="0" w:space="0" w:color="auto"/>
            <w:left w:val="none" w:sz="0" w:space="0" w:color="auto"/>
            <w:bottom w:val="none" w:sz="0" w:space="0" w:color="auto"/>
            <w:right w:val="none" w:sz="0" w:space="0" w:color="auto"/>
          </w:divBdr>
        </w:div>
        <w:div w:id="349070195">
          <w:marLeft w:val="0"/>
          <w:marRight w:val="0"/>
          <w:marTop w:val="0"/>
          <w:marBottom w:val="0"/>
          <w:divBdr>
            <w:top w:val="none" w:sz="0" w:space="0" w:color="auto"/>
            <w:left w:val="none" w:sz="0" w:space="0" w:color="auto"/>
            <w:bottom w:val="none" w:sz="0" w:space="0" w:color="auto"/>
            <w:right w:val="none" w:sz="0" w:space="0" w:color="auto"/>
          </w:divBdr>
        </w:div>
        <w:div w:id="417605272">
          <w:marLeft w:val="0"/>
          <w:marRight w:val="0"/>
          <w:marTop w:val="0"/>
          <w:marBottom w:val="0"/>
          <w:divBdr>
            <w:top w:val="none" w:sz="0" w:space="0" w:color="auto"/>
            <w:left w:val="none" w:sz="0" w:space="0" w:color="auto"/>
            <w:bottom w:val="none" w:sz="0" w:space="0" w:color="auto"/>
            <w:right w:val="none" w:sz="0" w:space="0" w:color="auto"/>
          </w:divBdr>
        </w:div>
        <w:div w:id="484248873">
          <w:marLeft w:val="0"/>
          <w:marRight w:val="0"/>
          <w:marTop w:val="0"/>
          <w:marBottom w:val="0"/>
          <w:divBdr>
            <w:top w:val="none" w:sz="0" w:space="0" w:color="auto"/>
            <w:left w:val="none" w:sz="0" w:space="0" w:color="auto"/>
            <w:bottom w:val="none" w:sz="0" w:space="0" w:color="auto"/>
            <w:right w:val="none" w:sz="0" w:space="0" w:color="auto"/>
          </w:divBdr>
        </w:div>
        <w:div w:id="559904375">
          <w:marLeft w:val="0"/>
          <w:marRight w:val="0"/>
          <w:marTop w:val="0"/>
          <w:marBottom w:val="0"/>
          <w:divBdr>
            <w:top w:val="none" w:sz="0" w:space="0" w:color="auto"/>
            <w:left w:val="none" w:sz="0" w:space="0" w:color="auto"/>
            <w:bottom w:val="none" w:sz="0" w:space="0" w:color="auto"/>
            <w:right w:val="none" w:sz="0" w:space="0" w:color="auto"/>
          </w:divBdr>
        </w:div>
        <w:div w:id="692464880">
          <w:marLeft w:val="0"/>
          <w:marRight w:val="0"/>
          <w:marTop w:val="0"/>
          <w:marBottom w:val="0"/>
          <w:divBdr>
            <w:top w:val="none" w:sz="0" w:space="0" w:color="auto"/>
            <w:left w:val="none" w:sz="0" w:space="0" w:color="auto"/>
            <w:bottom w:val="none" w:sz="0" w:space="0" w:color="auto"/>
            <w:right w:val="none" w:sz="0" w:space="0" w:color="auto"/>
          </w:divBdr>
        </w:div>
        <w:div w:id="764376347">
          <w:marLeft w:val="0"/>
          <w:marRight w:val="0"/>
          <w:marTop w:val="0"/>
          <w:marBottom w:val="0"/>
          <w:divBdr>
            <w:top w:val="none" w:sz="0" w:space="0" w:color="auto"/>
            <w:left w:val="none" w:sz="0" w:space="0" w:color="auto"/>
            <w:bottom w:val="none" w:sz="0" w:space="0" w:color="auto"/>
            <w:right w:val="none" w:sz="0" w:space="0" w:color="auto"/>
          </w:divBdr>
        </w:div>
        <w:div w:id="790242772">
          <w:marLeft w:val="0"/>
          <w:marRight w:val="0"/>
          <w:marTop w:val="0"/>
          <w:marBottom w:val="0"/>
          <w:divBdr>
            <w:top w:val="none" w:sz="0" w:space="0" w:color="auto"/>
            <w:left w:val="none" w:sz="0" w:space="0" w:color="auto"/>
            <w:bottom w:val="none" w:sz="0" w:space="0" w:color="auto"/>
            <w:right w:val="none" w:sz="0" w:space="0" w:color="auto"/>
          </w:divBdr>
        </w:div>
        <w:div w:id="1003825429">
          <w:marLeft w:val="0"/>
          <w:marRight w:val="0"/>
          <w:marTop w:val="0"/>
          <w:marBottom w:val="0"/>
          <w:divBdr>
            <w:top w:val="none" w:sz="0" w:space="0" w:color="auto"/>
            <w:left w:val="none" w:sz="0" w:space="0" w:color="auto"/>
            <w:bottom w:val="none" w:sz="0" w:space="0" w:color="auto"/>
            <w:right w:val="none" w:sz="0" w:space="0" w:color="auto"/>
          </w:divBdr>
        </w:div>
        <w:div w:id="1171607640">
          <w:marLeft w:val="0"/>
          <w:marRight w:val="0"/>
          <w:marTop w:val="0"/>
          <w:marBottom w:val="0"/>
          <w:divBdr>
            <w:top w:val="none" w:sz="0" w:space="0" w:color="auto"/>
            <w:left w:val="none" w:sz="0" w:space="0" w:color="auto"/>
            <w:bottom w:val="none" w:sz="0" w:space="0" w:color="auto"/>
            <w:right w:val="none" w:sz="0" w:space="0" w:color="auto"/>
          </w:divBdr>
        </w:div>
        <w:div w:id="1319730684">
          <w:marLeft w:val="0"/>
          <w:marRight w:val="0"/>
          <w:marTop w:val="0"/>
          <w:marBottom w:val="0"/>
          <w:divBdr>
            <w:top w:val="none" w:sz="0" w:space="0" w:color="auto"/>
            <w:left w:val="none" w:sz="0" w:space="0" w:color="auto"/>
            <w:bottom w:val="none" w:sz="0" w:space="0" w:color="auto"/>
            <w:right w:val="none" w:sz="0" w:space="0" w:color="auto"/>
          </w:divBdr>
        </w:div>
        <w:div w:id="1350982678">
          <w:marLeft w:val="0"/>
          <w:marRight w:val="0"/>
          <w:marTop w:val="0"/>
          <w:marBottom w:val="0"/>
          <w:divBdr>
            <w:top w:val="none" w:sz="0" w:space="0" w:color="auto"/>
            <w:left w:val="none" w:sz="0" w:space="0" w:color="auto"/>
            <w:bottom w:val="none" w:sz="0" w:space="0" w:color="auto"/>
            <w:right w:val="none" w:sz="0" w:space="0" w:color="auto"/>
          </w:divBdr>
        </w:div>
        <w:div w:id="1353874152">
          <w:marLeft w:val="0"/>
          <w:marRight w:val="0"/>
          <w:marTop w:val="0"/>
          <w:marBottom w:val="0"/>
          <w:divBdr>
            <w:top w:val="none" w:sz="0" w:space="0" w:color="auto"/>
            <w:left w:val="none" w:sz="0" w:space="0" w:color="auto"/>
            <w:bottom w:val="none" w:sz="0" w:space="0" w:color="auto"/>
            <w:right w:val="none" w:sz="0" w:space="0" w:color="auto"/>
          </w:divBdr>
        </w:div>
        <w:div w:id="1430463318">
          <w:marLeft w:val="0"/>
          <w:marRight w:val="0"/>
          <w:marTop w:val="0"/>
          <w:marBottom w:val="0"/>
          <w:divBdr>
            <w:top w:val="none" w:sz="0" w:space="0" w:color="auto"/>
            <w:left w:val="none" w:sz="0" w:space="0" w:color="auto"/>
            <w:bottom w:val="none" w:sz="0" w:space="0" w:color="auto"/>
            <w:right w:val="none" w:sz="0" w:space="0" w:color="auto"/>
          </w:divBdr>
        </w:div>
        <w:div w:id="1457482691">
          <w:marLeft w:val="0"/>
          <w:marRight w:val="0"/>
          <w:marTop w:val="0"/>
          <w:marBottom w:val="0"/>
          <w:divBdr>
            <w:top w:val="none" w:sz="0" w:space="0" w:color="auto"/>
            <w:left w:val="none" w:sz="0" w:space="0" w:color="auto"/>
            <w:bottom w:val="none" w:sz="0" w:space="0" w:color="auto"/>
            <w:right w:val="none" w:sz="0" w:space="0" w:color="auto"/>
          </w:divBdr>
        </w:div>
        <w:div w:id="1480607365">
          <w:marLeft w:val="0"/>
          <w:marRight w:val="0"/>
          <w:marTop w:val="0"/>
          <w:marBottom w:val="0"/>
          <w:divBdr>
            <w:top w:val="none" w:sz="0" w:space="0" w:color="auto"/>
            <w:left w:val="none" w:sz="0" w:space="0" w:color="auto"/>
            <w:bottom w:val="none" w:sz="0" w:space="0" w:color="auto"/>
            <w:right w:val="none" w:sz="0" w:space="0" w:color="auto"/>
          </w:divBdr>
        </w:div>
        <w:div w:id="1499074878">
          <w:marLeft w:val="0"/>
          <w:marRight w:val="0"/>
          <w:marTop w:val="0"/>
          <w:marBottom w:val="0"/>
          <w:divBdr>
            <w:top w:val="none" w:sz="0" w:space="0" w:color="auto"/>
            <w:left w:val="none" w:sz="0" w:space="0" w:color="auto"/>
            <w:bottom w:val="none" w:sz="0" w:space="0" w:color="auto"/>
            <w:right w:val="none" w:sz="0" w:space="0" w:color="auto"/>
          </w:divBdr>
        </w:div>
        <w:div w:id="1593707968">
          <w:marLeft w:val="0"/>
          <w:marRight w:val="0"/>
          <w:marTop w:val="0"/>
          <w:marBottom w:val="0"/>
          <w:divBdr>
            <w:top w:val="none" w:sz="0" w:space="0" w:color="auto"/>
            <w:left w:val="none" w:sz="0" w:space="0" w:color="auto"/>
            <w:bottom w:val="none" w:sz="0" w:space="0" w:color="auto"/>
            <w:right w:val="none" w:sz="0" w:space="0" w:color="auto"/>
          </w:divBdr>
        </w:div>
        <w:div w:id="1809591704">
          <w:marLeft w:val="0"/>
          <w:marRight w:val="0"/>
          <w:marTop w:val="0"/>
          <w:marBottom w:val="0"/>
          <w:divBdr>
            <w:top w:val="none" w:sz="0" w:space="0" w:color="auto"/>
            <w:left w:val="none" w:sz="0" w:space="0" w:color="auto"/>
            <w:bottom w:val="none" w:sz="0" w:space="0" w:color="auto"/>
            <w:right w:val="none" w:sz="0" w:space="0" w:color="auto"/>
          </w:divBdr>
        </w:div>
        <w:div w:id="2065180849">
          <w:marLeft w:val="0"/>
          <w:marRight w:val="0"/>
          <w:marTop w:val="0"/>
          <w:marBottom w:val="0"/>
          <w:divBdr>
            <w:top w:val="none" w:sz="0" w:space="0" w:color="auto"/>
            <w:left w:val="none" w:sz="0" w:space="0" w:color="auto"/>
            <w:bottom w:val="none" w:sz="0" w:space="0" w:color="auto"/>
            <w:right w:val="none" w:sz="0" w:space="0" w:color="auto"/>
          </w:divBdr>
        </w:div>
      </w:divsChild>
    </w:div>
    <w:div w:id="317998030">
      <w:bodyDiv w:val="1"/>
      <w:marLeft w:val="0"/>
      <w:marRight w:val="0"/>
      <w:marTop w:val="0"/>
      <w:marBottom w:val="0"/>
      <w:divBdr>
        <w:top w:val="none" w:sz="0" w:space="0" w:color="auto"/>
        <w:left w:val="none" w:sz="0" w:space="0" w:color="auto"/>
        <w:bottom w:val="none" w:sz="0" w:space="0" w:color="auto"/>
        <w:right w:val="none" w:sz="0" w:space="0" w:color="auto"/>
      </w:divBdr>
    </w:div>
    <w:div w:id="371155871">
      <w:bodyDiv w:val="1"/>
      <w:marLeft w:val="0"/>
      <w:marRight w:val="0"/>
      <w:marTop w:val="0"/>
      <w:marBottom w:val="0"/>
      <w:divBdr>
        <w:top w:val="none" w:sz="0" w:space="0" w:color="auto"/>
        <w:left w:val="none" w:sz="0" w:space="0" w:color="auto"/>
        <w:bottom w:val="none" w:sz="0" w:space="0" w:color="auto"/>
        <w:right w:val="none" w:sz="0" w:space="0" w:color="auto"/>
      </w:divBdr>
    </w:div>
    <w:div w:id="415131794">
      <w:bodyDiv w:val="1"/>
      <w:marLeft w:val="0"/>
      <w:marRight w:val="0"/>
      <w:marTop w:val="0"/>
      <w:marBottom w:val="0"/>
      <w:divBdr>
        <w:top w:val="none" w:sz="0" w:space="0" w:color="auto"/>
        <w:left w:val="none" w:sz="0" w:space="0" w:color="auto"/>
        <w:bottom w:val="none" w:sz="0" w:space="0" w:color="auto"/>
        <w:right w:val="none" w:sz="0" w:space="0" w:color="auto"/>
      </w:divBdr>
    </w:div>
    <w:div w:id="419572349">
      <w:bodyDiv w:val="1"/>
      <w:marLeft w:val="0"/>
      <w:marRight w:val="0"/>
      <w:marTop w:val="0"/>
      <w:marBottom w:val="0"/>
      <w:divBdr>
        <w:top w:val="none" w:sz="0" w:space="0" w:color="auto"/>
        <w:left w:val="none" w:sz="0" w:space="0" w:color="auto"/>
        <w:bottom w:val="none" w:sz="0" w:space="0" w:color="auto"/>
        <w:right w:val="none" w:sz="0" w:space="0" w:color="auto"/>
      </w:divBdr>
    </w:div>
    <w:div w:id="419915976">
      <w:bodyDiv w:val="1"/>
      <w:marLeft w:val="0"/>
      <w:marRight w:val="0"/>
      <w:marTop w:val="0"/>
      <w:marBottom w:val="0"/>
      <w:divBdr>
        <w:top w:val="none" w:sz="0" w:space="0" w:color="auto"/>
        <w:left w:val="none" w:sz="0" w:space="0" w:color="auto"/>
        <w:bottom w:val="none" w:sz="0" w:space="0" w:color="auto"/>
        <w:right w:val="none" w:sz="0" w:space="0" w:color="auto"/>
      </w:divBdr>
    </w:div>
    <w:div w:id="440691438">
      <w:bodyDiv w:val="1"/>
      <w:marLeft w:val="0"/>
      <w:marRight w:val="0"/>
      <w:marTop w:val="0"/>
      <w:marBottom w:val="0"/>
      <w:divBdr>
        <w:top w:val="none" w:sz="0" w:space="0" w:color="auto"/>
        <w:left w:val="none" w:sz="0" w:space="0" w:color="auto"/>
        <w:bottom w:val="none" w:sz="0" w:space="0" w:color="auto"/>
        <w:right w:val="none" w:sz="0" w:space="0" w:color="auto"/>
      </w:divBdr>
    </w:div>
    <w:div w:id="459348112">
      <w:bodyDiv w:val="1"/>
      <w:marLeft w:val="0"/>
      <w:marRight w:val="0"/>
      <w:marTop w:val="0"/>
      <w:marBottom w:val="0"/>
      <w:divBdr>
        <w:top w:val="none" w:sz="0" w:space="0" w:color="auto"/>
        <w:left w:val="none" w:sz="0" w:space="0" w:color="auto"/>
        <w:bottom w:val="none" w:sz="0" w:space="0" w:color="auto"/>
        <w:right w:val="none" w:sz="0" w:space="0" w:color="auto"/>
      </w:divBdr>
    </w:div>
    <w:div w:id="462889672">
      <w:bodyDiv w:val="1"/>
      <w:marLeft w:val="0"/>
      <w:marRight w:val="0"/>
      <w:marTop w:val="0"/>
      <w:marBottom w:val="0"/>
      <w:divBdr>
        <w:top w:val="none" w:sz="0" w:space="0" w:color="auto"/>
        <w:left w:val="none" w:sz="0" w:space="0" w:color="auto"/>
        <w:bottom w:val="none" w:sz="0" w:space="0" w:color="auto"/>
        <w:right w:val="none" w:sz="0" w:space="0" w:color="auto"/>
      </w:divBdr>
    </w:div>
    <w:div w:id="492794182">
      <w:bodyDiv w:val="1"/>
      <w:marLeft w:val="0"/>
      <w:marRight w:val="0"/>
      <w:marTop w:val="0"/>
      <w:marBottom w:val="0"/>
      <w:divBdr>
        <w:top w:val="none" w:sz="0" w:space="0" w:color="auto"/>
        <w:left w:val="none" w:sz="0" w:space="0" w:color="auto"/>
        <w:bottom w:val="none" w:sz="0" w:space="0" w:color="auto"/>
        <w:right w:val="none" w:sz="0" w:space="0" w:color="auto"/>
      </w:divBdr>
    </w:div>
    <w:div w:id="509176729">
      <w:bodyDiv w:val="1"/>
      <w:marLeft w:val="0"/>
      <w:marRight w:val="0"/>
      <w:marTop w:val="0"/>
      <w:marBottom w:val="0"/>
      <w:divBdr>
        <w:top w:val="none" w:sz="0" w:space="0" w:color="auto"/>
        <w:left w:val="none" w:sz="0" w:space="0" w:color="auto"/>
        <w:bottom w:val="none" w:sz="0" w:space="0" w:color="auto"/>
        <w:right w:val="none" w:sz="0" w:space="0" w:color="auto"/>
      </w:divBdr>
    </w:div>
    <w:div w:id="531964868">
      <w:bodyDiv w:val="1"/>
      <w:marLeft w:val="0"/>
      <w:marRight w:val="0"/>
      <w:marTop w:val="0"/>
      <w:marBottom w:val="0"/>
      <w:divBdr>
        <w:top w:val="none" w:sz="0" w:space="0" w:color="auto"/>
        <w:left w:val="none" w:sz="0" w:space="0" w:color="auto"/>
        <w:bottom w:val="none" w:sz="0" w:space="0" w:color="auto"/>
        <w:right w:val="none" w:sz="0" w:space="0" w:color="auto"/>
      </w:divBdr>
    </w:div>
    <w:div w:id="551039567">
      <w:bodyDiv w:val="1"/>
      <w:marLeft w:val="0"/>
      <w:marRight w:val="0"/>
      <w:marTop w:val="0"/>
      <w:marBottom w:val="0"/>
      <w:divBdr>
        <w:top w:val="none" w:sz="0" w:space="0" w:color="auto"/>
        <w:left w:val="none" w:sz="0" w:space="0" w:color="auto"/>
        <w:bottom w:val="none" w:sz="0" w:space="0" w:color="auto"/>
        <w:right w:val="none" w:sz="0" w:space="0" w:color="auto"/>
      </w:divBdr>
    </w:div>
    <w:div w:id="556672768">
      <w:bodyDiv w:val="1"/>
      <w:marLeft w:val="0"/>
      <w:marRight w:val="0"/>
      <w:marTop w:val="0"/>
      <w:marBottom w:val="0"/>
      <w:divBdr>
        <w:top w:val="none" w:sz="0" w:space="0" w:color="auto"/>
        <w:left w:val="none" w:sz="0" w:space="0" w:color="auto"/>
        <w:bottom w:val="none" w:sz="0" w:space="0" w:color="auto"/>
        <w:right w:val="none" w:sz="0" w:space="0" w:color="auto"/>
      </w:divBdr>
    </w:div>
    <w:div w:id="559755840">
      <w:bodyDiv w:val="1"/>
      <w:marLeft w:val="0"/>
      <w:marRight w:val="0"/>
      <w:marTop w:val="0"/>
      <w:marBottom w:val="0"/>
      <w:divBdr>
        <w:top w:val="none" w:sz="0" w:space="0" w:color="auto"/>
        <w:left w:val="none" w:sz="0" w:space="0" w:color="auto"/>
        <w:bottom w:val="none" w:sz="0" w:space="0" w:color="auto"/>
        <w:right w:val="none" w:sz="0" w:space="0" w:color="auto"/>
      </w:divBdr>
    </w:div>
    <w:div w:id="565920126">
      <w:bodyDiv w:val="1"/>
      <w:marLeft w:val="0"/>
      <w:marRight w:val="0"/>
      <w:marTop w:val="0"/>
      <w:marBottom w:val="0"/>
      <w:divBdr>
        <w:top w:val="none" w:sz="0" w:space="0" w:color="auto"/>
        <w:left w:val="none" w:sz="0" w:space="0" w:color="auto"/>
        <w:bottom w:val="none" w:sz="0" w:space="0" w:color="auto"/>
        <w:right w:val="none" w:sz="0" w:space="0" w:color="auto"/>
      </w:divBdr>
    </w:div>
    <w:div w:id="576288798">
      <w:bodyDiv w:val="1"/>
      <w:marLeft w:val="0"/>
      <w:marRight w:val="0"/>
      <w:marTop w:val="0"/>
      <w:marBottom w:val="0"/>
      <w:divBdr>
        <w:top w:val="none" w:sz="0" w:space="0" w:color="auto"/>
        <w:left w:val="none" w:sz="0" w:space="0" w:color="auto"/>
        <w:bottom w:val="none" w:sz="0" w:space="0" w:color="auto"/>
        <w:right w:val="none" w:sz="0" w:space="0" w:color="auto"/>
      </w:divBdr>
    </w:div>
    <w:div w:id="596212167">
      <w:bodyDiv w:val="1"/>
      <w:marLeft w:val="0"/>
      <w:marRight w:val="0"/>
      <w:marTop w:val="0"/>
      <w:marBottom w:val="0"/>
      <w:divBdr>
        <w:top w:val="none" w:sz="0" w:space="0" w:color="auto"/>
        <w:left w:val="none" w:sz="0" w:space="0" w:color="auto"/>
        <w:bottom w:val="none" w:sz="0" w:space="0" w:color="auto"/>
        <w:right w:val="none" w:sz="0" w:space="0" w:color="auto"/>
      </w:divBdr>
      <w:divsChild>
        <w:div w:id="262692052">
          <w:marLeft w:val="0"/>
          <w:marRight w:val="0"/>
          <w:marTop w:val="0"/>
          <w:marBottom w:val="0"/>
          <w:divBdr>
            <w:top w:val="none" w:sz="0" w:space="0" w:color="auto"/>
            <w:left w:val="none" w:sz="0" w:space="0" w:color="auto"/>
            <w:bottom w:val="none" w:sz="0" w:space="0" w:color="auto"/>
            <w:right w:val="none" w:sz="0" w:space="0" w:color="auto"/>
          </w:divBdr>
        </w:div>
        <w:div w:id="344475308">
          <w:marLeft w:val="0"/>
          <w:marRight w:val="0"/>
          <w:marTop w:val="0"/>
          <w:marBottom w:val="0"/>
          <w:divBdr>
            <w:top w:val="none" w:sz="0" w:space="0" w:color="auto"/>
            <w:left w:val="none" w:sz="0" w:space="0" w:color="auto"/>
            <w:bottom w:val="none" w:sz="0" w:space="0" w:color="auto"/>
            <w:right w:val="none" w:sz="0" w:space="0" w:color="auto"/>
          </w:divBdr>
        </w:div>
        <w:div w:id="864370438">
          <w:marLeft w:val="0"/>
          <w:marRight w:val="0"/>
          <w:marTop w:val="0"/>
          <w:marBottom w:val="0"/>
          <w:divBdr>
            <w:top w:val="none" w:sz="0" w:space="0" w:color="auto"/>
            <w:left w:val="none" w:sz="0" w:space="0" w:color="auto"/>
            <w:bottom w:val="none" w:sz="0" w:space="0" w:color="auto"/>
            <w:right w:val="none" w:sz="0" w:space="0" w:color="auto"/>
          </w:divBdr>
        </w:div>
        <w:div w:id="1144158935">
          <w:marLeft w:val="0"/>
          <w:marRight w:val="0"/>
          <w:marTop w:val="0"/>
          <w:marBottom w:val="0"/>
          <w:divBdr>
            <w:top w:val="none" w:sz="0" w:space="0" w:color="auto"/>
            <w:left w:val="none" w:sz="0" w:space="0" w:color="auto"/>
            <w:bottom w:val="none" w:sz="0" w:space="0" w:color="auto"/>
            <w:right w:val="none" w:sz="0" w:space="0" w:color="auto"/>
          </w:divBdr>
        </w:div>
        <w:div w:id="1400323801">
          <w:marLeft w:val="0"/>
          <w:marRight w:val="0"/>
          <w:marTop w:val="0"/>
          <w:marBottom w:val="0"/>
          <w:divBdr>
            <w:top w:val="none" w:sz="0" w:space="0" w:color="auto"/>
            <w:left w:val="none" w:sz="0" w:space="0" w:color="auto"/>
            <w:bottom w:val="none" w:sz="0" w:space="0" w:color="auto"/>
            <w:right w:val="none" w:sz="0" w:space="0" w:color="auto"/>
          </w:divBdr>
        </w:div>
        <w:div w:id="1700357747">
          <w:marLeft w:val="0"/>
          <w:marRight w:val="0"/>
          <w:marTop w:val="0"/>
          <w:marBottom w:val="0"/>
          <w:divBdr>
            <w:top w:val="none" w:sz="0" w:space="0" w:color="auto"/>
            <w:left w:val="none" w:sz="0" w:space="0" w:color="auto"/>
            <w:bottom w:val="none" w:sz="0" w:space="0" w:color="auto"/>
            <w:right w:val="none" w:sz="0" w:space="0" w:color="auto"/>
          </w:divBdr>
        </w:div>
        <w:div w:id="1717852204">
          <w:marLeft w:val="0"/>
          <w:marRight w:val="0"/>
          <w:marTop w:val="0"/>
          <w:marBottom w:val="0"/>
          <w:divBdr>
            <w:top w:val="none" w:sz="0" w:space="0" w:color="auto"/>
            <w:left w:val="none" w:sz="0" w:space="0" w:color="auto"/>
            <w:bottom w:val="none" w:sz="0" w:space="0" w:color="auto"/>
            <w:right w:val="none" w:sz="0" w:space="0" w:color="auto"/>
          </w:divBdr>
        </w:div>
      </w:divsChild>
    </w:div>
    <w:div w:id="694960599">
      <w:bodyDiv w:val="1"/>
      <w:marLeft w:val="0"/>
      <w:marRight w:val="0"/>
      <w:marTop w:val="0"/>
      <w:marBottom w:val="0"/>
      <w:divBdr>
        <w:top w:val="none" w:sz="0" w:space="0" w:color="auto"/>
        <w:left w:val="none" w:sz="0" w:space="0" w:color="auto"/>
        <w:bottom w:val="none" w:sz="0" w:space="0" w:color="auto"/>
        <w:right w:val="none" w:sz="0" w:space="0" w:color="auto"/>
      </w:divBdr>
      <w:divsChild>
        <w:div w:id="547880994">
          <w:marLeft w:val="0"/>
          <w:marRight w:val="0"/>
          <w:marTop w:val="0"/>
          <w:marBottom w:val="0"/>
          <w:divBdr>
            <w:top w:val="none" w:sz="0" w:space="0" w:color="auto"/>
            <w:left w:val="none" w:sz="0" w:space="0" w:color="auto"/>
            <w:bottom w:val="none" w:sz="0" w:space="0" w:color="auto"/>
            <w:right w:val="none" w:sz="0" w:space="0" w:color="auto"/>
          </w:divBdr>
          <w:divsChild>
            <w:div w:id="267203632">
              <w:marLeft w:val="0"/>
              <w:marRight w:val="0"/>
              <w:marTop w:val="0"/>
              <w:marBottom w:val="0"/>
              <w:divBdr>
                <w:top w:val="none" w:sz="0" w:space="0" w:color="auto"/>
                <w:left w:val="none" w:sz="0" w:space="0" w:color="auto"/>
                <w:bottom w:val="none" w:sz="0" w:space="0" w:color="auto"/>
                <w:right w:val="none" w:sz="0" w:space="0" w:color="auto"/>
              </w:divBdr>
              <w:divsChild>
                <w:div w:id="4188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317">
      <w:bodyDiv w:val="1"/>
      <w:marLeft w:val="0"/>
      <w:marRight w:val="0"/>
      <w:marTop w:val="0"/>
      <w:marBottom w:val="0"/>
      <w:divBdr>
        <w:top w:val="none" w:sz="0" w:space="0" w:color="auto"/>
        <w:left w:val="none" w:sz="0" w:space="0" w:color="auto"/>
        <w:bottom w:val="none" w:sz="0" w:space="0" w:color="auto"/>
        <w:right w:val="none" w:sz="0" w:space="0" w:color="auto"/>
      </w:divBdr>
    </w:div>
    <w:div w:id="736822622">
      <w:bodyDiv w:val="1"/>
      <w:marLeft w:val="0"/>
      <w:marRight w:val="0"/>
      <w:marTop w:val="0"/>
      <w:marBottom w:val="0"/>
      <w:divBdr>
        <w:top w:val="none" w:sz="0" w:space="0" w:color="auto"/>
        <w:left w:val="none" w:sz="0" w:space="0" w:color="auto"/>
        <w:bottom w:val="none" w:sz="0" w:space="0" w:color="auto"/>
        <w:right w:val="none" w:sz="0" w:space="0" w:color="auto"/>
      </w:divBdr>
    </w:div>
    <w:div w:id="763263885">
      <w:bodyDiv w:val="1"/>
      <w:marLeft w:val="0"/>
      <w:marRight w:val="0"/>
      <w:marTop w:val="0"/>
      <w:marBottom w:val="0"/>
      <w:divBdr>
        <w:top w:val="none" w:sz="0" w:space="0" w:color="auto"/>
        <w:left w:val="none" w:sz="0" w:space="0" w:color="auto"/>
        <w:bottom w:val="none" w:sz="0" w:space="0" w:color="auto"/>
        <w:right w:val="none" w:sz="0" w:space="0" w:color="auto"/>
      </w:divBdr>
    </w:div>
    <w:div w:id="792016929">
      <w:bodyDiv w:val="1"/>
      <w:marLeft w:val="0"/>
      <w:marRight w:val="0"/>
      <w:marTop w:val="0"/>
      <w:marBottom w:val="0"/>
      <w:divBdr>
        <w:top w:val="none" w:sz="0" w:space="0" w:color="auto"/>
        <w:left w:val="none" w:sz="0" w:space="0" w:color="auto"/>
        <w:bottom w:val="none" w:sz="0" w:space="0" w:color="auto"/>
        <w:right w:val="none" w:sz="0" w:space="0" w:color="auto"/>
      </w:divBdr>
    </w:div>
    <w:div w:id="881331232">
      <w:bodyDiv w:val="1"/>
      <w:marLeft w:val="0"/>
      <w:marRight w:val="0"/>
      <w:marTop w:val="0"/>
      <w:marBottom w:val="0"/>
      <w:divBdr>
        <w:top w:val="none" w:sz="0" w:space="0" w:color="auto"/>
        <w:left w:val="none" w:sz="0" w:space="0" w:color="auto"/>
        <w:bottom w:val="none" w:sz="0" w:space="0" w:color="auto"/>
        <w:right w:val="none" w:sz="0" w:space="0" w:color="auto"/>
      </w:divBdr>
    </w:div>
    <w:div w:id="926422708">
      <w:bodyDiv w:val="1"/>
      <w:marLeft w:val="0"/>
      <w:marRight w:val="0"/>
      <w:marTop w:val="0"/>
      <w:marBottom w:val="0"/>
      <w:divBdr>
        <w:top w:val="none" w:sz="0" w:space="0" w:color="auto"/>
        <w:left w:val="none" w:sz="0" w:space="0" w:color="auto"/>
        <w:bottom w:val="none" w:sz="0" w:space="0" w:color="auto"/>
        <w:right w:val="none" w:sz="0" w:space="0" w:color="auto"/>
      </w:divBdr>
    </w:div>
    <w:div w:id="938677097">
      <w:bodyDiv w:val="1"/>
      <w:marLeft w:val="0"/>
      <w:marRight w:val="0"/>
      <w:marTop w:val="0"/>
      <w:marBottom w:val="0"/>
      <w:divBdr>
        <w:top w:val="none" w:sz="0" w:space="0" w:color="auto"/>
        <w:left w:val="none" w:sz="0" w:space="0" w:color="auto"/>
        <w:bottom w:val="none" w:sz="0" w:space="0" w:color="auto"/>
        <w:right w:val="none" w:sz="0" w:space="0" w:color="auto"/>
      </w:divBdr>
    </w:div>
    <w:div w:id="940185578">
      <w:bodyDiv w:val="1"/>
      <w:marLeft w:val="0"/>
      <w:marRight w:val="0"/>
      <w:marTop w:val="0"/>
      <w:marBottom w:val="0"/>
      <w:divBdr>
        <w:top w:val="none" w:sz="0" w:space="0" w:color="auto"/>
        <w:left w:val="none" w:sz="0" w:space="0" w:color="auto"/>
        <w:bottom w:val="none" w:sz="0" w:space="0" w:color="auto"/>
        <w:right w:val="none" w:sz="0" w:space="0" w:color="auto"/>
      </w:divBdr>
    </w:div>
    <w:div w:id="951325011">
      <w:bodyDiv w:val="1"/>
      <w:marLeft w:val="0"/>
      <w:marRight w:val="0"/>
      <w:marTop w:val="0"/>
      <w:marBottom w:val="0"/>
      <w:divBdr>
        <w:top w:val="none" w:sz="0" w:space="0" w:color="auto"/>
        <w:left w:val="none" w:sz="0" w:space="0" w:color="auto"/>
        <w:bottom w:val="none" w:sz="0" w:space="0" w:color="auto"/>
        <w:right w:val="none" w:sz="0" w:space="0" w:color="auto"/>
      </w:divBdr>
    </w:div>
    <w:div w:id="951399579">
      <w:bodyDiv w:val="1"/>
      <w:marLeft w:val="0"/>
      <w:marRight w:val="0"/>
      <w:marTop w:val="0"/>
      <w:marBottom w:val="0"/>
      <w:divBdr>
        <w:top w:val="none" w:sz="0" w:space="0" w:color="auto"/>
        <w:left w:val="none" w:sz="0" w:space="0" w:color="auto"/>
        <w:bottom w:val="none" w:sz="0" w:space="0" w:color="auto"/>
        <w:right w:val="none" w:sz="0" w:space="0" w:color="auto"/>
      </w:divBdr>
    </w:div>
    <w:div w:id="968361562">
      <w:bodyDiv w:val="1"/>
      <w:marLeft w:val="0"/>
      <w:marRight w:val="0"/>
      <w:marTop w:val="0"/>
      <w:marBottom w:val="0"/>
      <w:divBdr>
        <w:top w:val="none" w:sz="0" w:space="0" w:color="auto"/>
        <w:left w:val="none" w:sz="0" w:space="0" w:color="auto"/>
        <w:bottom w:val="none" w:sz="0" w:space="0" w:color="auto"/>
        <w:right w:val="none" w:sz="0" w:space="0" w:color="auto"/>
      </w:divBdr>
    </w:div>
    <w:div w:id="984044273">
      <w:bodyDiv w:val="1"/>
      <w:marLeft w:val="0"/>
      <w:marRight w:val="0"/>
      <w:marTop w:val="0"/>
      <w:marBottom w:val="0"/>
      <w:divBdr>
        <w:top w:val="none" w:sz="0" w:space="0" w:color="auto"/>
        <w:left w:val="none" w:sz="0" w:space="0" w:color="auto"/>
        <w:bottom w:val="none" w:sz="0" w:space="0" w:color="auto"/>
        <w:right w:val="none" w:sz="0" w:space="0" w:color="auto"/>
      </w:divBdr>
    </w:div>
    <w:div w:id="1039861971">
      <w:bodyDiv w:val="1"/>
      <w:marLeft w:val="0"/>
      <w:marRight w:val="0"/>
      <w:marTop w:val="0"/>
      <w:marBottom w:val="0"/>
      <w:divBdr>
        <w:top w:val="none" w:sz="0" w:space="0" w:color="auto"/>
        <w:left w:val="none" w:sz="0" w:space="0" w:color="auto"/>
        <w:bottom w:val="none" w:sz="0" w:space="0" w:color="auto"/>
        <w:right w:val="none" w:sz="0" w:space="0" w:color="auto"/>
      </w:divBdr>
    </w:div>
    <w:div w:id="1055541736">
      <w:bodyDiv w:val="1"/>
      <w:marLeft w:val="0"/>
      <w:marRight w:val="0"/>
      <w:marTop w:val="0"/>
      <w:marBottom w:val="0"/>
      <w:divBdr>
        <w:top w:val="none" w:sz="0" w:space="0" w:color="auto"/>
        <w:left w:val="none" w:sz="0" w:space="0" w:color="auto"/>
        <w:bottom w:val="none" w:sz="0" w:space="0" w:color="auto"/>
        <w:right w:val="none" w:sz="0" w:space="0" w:color="auto"/>
      </w:divBdr>
    </w:div>
    <w:div w:id="1062145285">
      <w:bodyDiv w:val="1"/>
      <w:marLeft w:val="0"/>
      <w:marRight w:val="0"/>
      <w:marTop w:val="0"/>
      <w:marBottom w:val="0"/>
      <w:divBdr>
        <w:top w:val="none" w:sz="0" w:space="0" w:color="auto"/>
        <w:left w:val="none" w:sz="0" w:space="0" w:color="auto"/>
        <w:bottom w:val="none" w:sz="0" w:space="0" w:color="auto"/>
        <w:right w:val="none" w:sz="0" w:space="0" w:color="auto"/>
      </w:divBdr>
    </w:div>
    <w:div w:id="1072965963">
      <w:bodyDiv w:val="1"/>
      <w:marLeft w:val="0"/>
      <w:marRight w:val="0"/>
      <w:marTop w:val="0"/>
      <w:marBottom w:val="0"/>
      <w:divBdr>
        <w:top w:val="none" w:sz="0" w:space="0" w:color="auto"/>
        <w:left w:val="none" w:sz="0" w:space="0" w:color="auto"/>
        <w:bottom w:val="none" w:sz="0" w:space="0" w:color="auto"/>
        <w:right w:val="none" w:sz="0" w:space="0" w:color="auto"/>
      </w:divBdr>
    </w:div>
    <w:div w:id="1086077518">
      <w:bodyDiv w:val="1"/>
      <w:marLeft w:val="0"/>
      <w:marRight w:val="0"/>
      <w:marTop w:val="0"/>
      <w:marBottom w:val="0"/>
      <w:divBdr>
        <w:top w:val="none" w:sz="0" w:space="0" w:color="auto"/>
        <w:left w:val="none" w:sz="0" w:space="0" w:color="auto"/>
        <w:bottom w:val="none" w:sz="0" w:space="0" w:color="auto"/>
        <w:right w:val="none" w:sz="0" w:space="0" w:color="auto"/>
      </w:divBdr>
    </w:div>
    <w:div w:id="1129589426">
      <w:bodyDiv w:val="1"/>
      <w:marLeft w:val="0"/>
      <w:marRight w:val="0"/>
      <w:marTop w:val="0"/>
      <w:marBottom w:val="0"/>
      <w:divBdr>
        <w:top w:val="none" w:sz="0" w:space="0" w:color="auto"/>
        <w:left w:val="none" w:sz="0" w:space="0" w:color="auto"/>
        <w:bottom w:val="none" w:sz="0" w:space="0" w:color="auto"/>
        <w:right w:val="none" w:sz="0" w:space="0" w:color="auto"/>
      </w:divBdr>
    </w:div>
    <w:div w:id="1134517511">
      <w:bodyDiv w:val="1"/>
      <w:marLeft w:val="0"/>
      <w:marRight w:val="0"/>
      <w:marTop w:val="0"/>
      <w:marBottom w:val="0"/>
      <w:divBdr>
        <w:top w:val="none" w:sz="0" w:space="0" w:color="auto"/>
        <w:left w:val="none" w:sz="0" w:space="0" w:color="auto"/>
        <w:bottom w:val="none" w:sz="0" w:space="0" w:color="auto"/>
        <w:right w:val="none" w:sz="0" w:space="0" w:color="auto"/>
      </w:divBdr>
      <w:divsChild>
        <w:div w:id="25642878">
          <w:marLeft w:val="0"/>
          <w:marRight w:val="0"/>
          <w:marTop w:val="0"/>
          <w:marBottom w:val="0"/>
          <w:divBdr>
            <w:top w:val="none" w:sz="0" w:space="0" w:color="auto"/>
            <w:left w:val="none" w:sz="0" w:space="0" w:color="auto"/>
            <w:bottom w:val="none" w:sz="0" w:space="0" w:color="auto"/>
            <w:right w:val="none" w:sz="0" w:space="0" w:color="auto"/>
          </w:divBdr>
        </w:div>
        <w:div w:id="27612119">
          <w:marLeft w:val="0"/>
          <w:marRight w:val="0"/>
          <w:marTop w:val="0"/>
          <w:marBottom w:val="0"/>
          <w:divBdr>
            <w:top w:val="none" w:sz="0" w:space="0" w:color="auto"/>
            <w:left w:val="none" w:sz="0" w:space="0" w:color="auto"/>
            <w:bottom w:val="none" w:sz="0" w:space="0" w:color="auto"/>
            <w:right w:val="none" w:sz="0" w:space="0" w:color="auto"/>
          </w:divBdr>
        </w:div>
        <w:div w:id="57437702">
          <w:marLeft w:val="0"/>
          <w:marRight w:val="0"/>
          <w:marTop w:val="0"/>
          <w:marBottom w:val="0"/>
          <w:divBdr>
            <w:top w:val="none" w:sz="0" w:space="0" w:color="auto"/>
            <w:left w:val="none" w:sz="0" w:space="0" w:color="auto"/>
            <w:bottom w:val="none" w:sz="0" w:space="0" w:color="auto"/>
            <w:right w:val="none" w:sz="0" w:space="0" w:color="auto"/>
          </w:divBdr>
        </w:div>
        <w:div w:id="63574755">
          <w:marLeft w:val="0"/>
          <w:marRight w:val="0"/>
          <w:marTop w:val="0"/>
          <w:marBottom w:val="0"/>
          <w:divBdr>
            <w:top w:val="none" w:sz="0" w:space="0" w:color="auto"/>
            <w:left w:val="none" w:sz="0" w:space="0" w:color="auto"/>
            <w:bottom w:val="none" w:sz="0" w:space="0" w:color="auto"/>
            <w:right w:val="none" w:sz="0" w:space="0" w:color="auto"/>
          </w:divBdr>
        </w:div>
        <w:div w:id="72049257">
          <w:marLeft w:val="0"/>
          <w:marRight w:val="0"/>
          <w:marTop w:val="0"/>
          <w:marBottom w:val="0"/>
          <w:divBdr>
            <w:top w:val="none" w:sz="0" w:space="0" w:color="auto"/>
            <w:left w:val="none" w:sz="0" w:space="0" w:color="auto"/>
            <w:bottom w:val="none" w:sz="0" w:space="0" w:color="auto"/>
            <w:right w:val="none" w:sz="0" w:space="0" w:color="auto"/>
          </w:divBdr>
        </w:div>
        <w:div w:id="83697619">
          <w:marLeft w:val="0"/>
          <w:marRight w:val="0"/>
          <w:marTop w:val="0"/>
          <w:marBottom w:val="0"/>
          <w:divBdr>
            <w:top w:val="none" w:sz="0" w:space="0" w:color="auto"/>
            <w:left w:val="none" w:sz="0" w:space="0" w:color="auto"/>
            <w:bottom w:val="none" w:sz="0" w:space="0" w:color="auto"/>
            <w:right w:val="none" w:sz="0" w:space="0" w:color="auto"/>
          </w:divBdr>
        </w:div>
        <w:div w:id="87964626">
          <w:marLeft w:val="0"/>
          <w:marRight w:val="0"/>
          <w:marTop w:val="0"/>
          <w:marBottom w:val="0"/>
          <w:divBdr>
            <w:top w:val="none" w:sz="0" w:space="0" w:color="auto"/>
            <w:left w:val="none" w:sz="0" w:space="0" w:color="auto"/>
            <w:bottom w:val="none" w:sz="0" w:space="0" w:color="auto"/>
            <w:right w:val="none" w:sz="0" w:space="0" w:color="auto"/>
          </w:divBdr>
        </w:div>
        <w:div w:id="286662462">
          <w:marLeft w:val="0"/>
          <w:marRight w:val="0"/>
          <w:marTop w:val="0"/>
          <w:marBottom w:val="0"/>
          <w:divBdr>
            <w:top w:val="none" w:sz="0" w:space="0" w:color="auto"/>
            <w:left w:val="none" w:sz="0" w:space="0" w:color="auto"/>
            <w:bottom w:val="none" w:sz="0" w:space="0" w:color="auto"/>
            <w:right w:val="none" w:sz="0" w:space="0" w:color="auto"/>
          </w:divBdr>
        </w:div>
        <w:div w:id="300355280">
          <w:marLeft w:val="0"/>
          <w:marRight w:val="0"/>
          <w:marTop w:val="0"/>
          <w:marBottom w:val="0"/>
          <w:divBdr>
            <w:top w:val="none" w:sz="0" w:space="0" w:color="auto"/>
            <w:left w:val="none" w:sz="0" w:space="0" w:color="auto"/>
            <w:bottom w:val="none" w:sz="0" w:space="0" w:color="auto"/>
            <w:right w:val="none" w:sz="0" w:space="0" w:color="auto"/>
          </w:divBdr>
        </w:div>
        <w:div w:id="348487546">
          <w:marLeft w:val="0"/>
          <w:marRight w:val="0"/>
          <w:marTop w:val="0"/>
          <w:marBottom w:val="0"/>
          <w:divBdr>
            <w:top w:val="none" w:sz="0" w:space="0" w:color="auto"/>
            <w:left w:val="none" w:sz="0" w:space="0" w:color="auto"/>
            <w:bottom w:val="none" w:sz="0" w:space="0" w:color="auto"/>
            <w:right w:val="none" w:sz="0" w:space="0" w:color="auto"/>
          </w:divBdr>
        </w:div>
        <w:div w:id="718700101">
          <w:marLeft w:val="0"/>
          <w:marRight w:val="0"/>
          <w:marTop w:val="0"/>
          <w:marBottom w:val="0"/>
          <w:divBdr>
            <w:top w:val="none" w:sz="0" w:space="0" w:color="auto"/>
            <w:left w:val="none" w:sz="0" w:space="0" w:color="auto"/>
            <w:bottom w:val="none" w:sz="0" w:space="0" w:color="auto"/>
            <w:right w:val="none" w:sz="0" w:space="0" w:color="auto"/>
          </w:divBdr>
        </w:div>
        <w:div w:id="867792133">
          <w:marLeft w:val="0"/>
          <w:marRight w:val="0"/>
          <w:marTop w:val="0"/>
          <w:marBottom w:val="0"/>
          <w:divBdr>
            <w:top w:val="none" w:sz="0" w:space="0" w:color="auto"/>
            <w:left w:val="none" w:sz="0" w:space="0" w:color="auto"/>
            <w:bottom w:val="none" w:sz="0" w:space="0" w:color="auto"/>
            <w:right w:val="none" w:sz="0" w:space="0" w:color="auto"/>
          </w:divBdr>
        </w:div>
        <w:div w:id="1102722512">
          <w:marLeft w:val="0"/>
          <w:marRight w:val="0"/>
          <w:marTop w:val="0"/>
          <w:marBottom w:val="0"/>
          <w:divBdr>
            <w:top w:val="none" w:sz="0" w:space="0" w:color="auto"/>
            <w:left w:val="none" w:sz="0" w:space="0" w:color="auto"/>
            <w:bottom w:val="none" w:sz="0" w:space="0" w:color="auto"/>
            <w:right w:val="none" w:sz="0" w:space="0" w:color="auto"/>
          </w:divBdr>
        </w:div>
        <w:div w:id="1152522241">
          <w:marLeft w:val="0"/>
          <w:marRight w:val="0"/>
          <w:marTop w:val="0"/>
          <w:marBottom w:val="0"/>
          <w:divBdr>
            <w:top w:val="none" w:sz="0" w:space="0" w:color="auto"/>
            <w:left w:val="none" w:sz="0" w:space="0" w:color="auto"/>
            <w:bottom w:val="none" w:sz="0" w:space="0" w:color="auto"/>
            <w:right w:val="none" w:sz="0" w:space="0" w:color="auto"/>
          </w:divBdr>
        </w:div>
        <w:div w:id="1254123771">
          <w:marLeft w:val="0"/>
          <w:marRight w:val="0"/>
          <w:marTop w:val="0"/>
          <w:marBottom w:val="0"/>
          <w:divBdr>
            <w:top w:val="none" w:sz="0" w:space="0" w:color="auto"/>
            <w:left w:val="none" w:sz="0" w:space="0" w:color="auto"/>
            <w:bottom w:val="none" w:sz="0" w:space="0" w:color="auto"/>
            <w:right w:val="none" w:sz="0" w:space="0" w:color="auto"/>
          </w:divBdr>
        </w:div>
        <w:div w:id="1469936132">
          <w:marLeft w:val="0"/>
          <w:marRight w:val="0"/>
          <w:marTop w:val="0"/>
          <w:marBottom w:val="0"/>
          <w:divBdr>
            <w:top w:val="none" w:sz="0" w:space="0" w:color="auto"/>
            <w:left w:val="none" w:sz="0" w:space="0" w:color="auto"/>
            <w:bottom w:val="none" w:sz="0" w:space="0" w:color="auto"/>
            <w:right w:val="none" w:sz="0" w:space="0" w:color="auto"/>
          </w:divBdr>
        </w:div>
        <w:div w:id="1544362059">
          <w:marLeft w:val="0"/>
          <w:marRight w:val="0"/>
          <w:marTop w:val="0"/>
          <w:marBottom w:val="0"/>
          <w:divBdr>
            <w:top w:val="none" w:sz="0" w:space="0" w:color="auto"/>
            <w:left w:val="none" w:sz="0" w:space="0" w:color="auto"/>
            <w:bottom w:val="none" w:sz="0" w:space="0" w:color="auto"/>
            <w:right w:val="none" w:sz="0" w:space="0" w:color="auto"/>
          </w:divBdr>
        </w:div>
        <w:div w:id="1771244597">
          <w:marLeft w:val="0"/>
          <w:marRight w:val="0"/>
          <w:marTop w:val="0"/>
          <w:marBottom w:val="0"/>
          <w:divBdr>
            <w:top w:val="none" w:sz="0" w:space="0" w:color="auto"/>
            <w:left w:val="none" w:sz="0" w:space="0" w:color="auto"/>
            <w:bottom w:val="none" w:sz="0" w:space="0" w:color="auto"/>
            <w:right w:val="none" w:sz="0" w:space="0" w:color="auto"/>
          </w:divBdr>
        </w:div>
        <w:div w:id="1786533274">
          <w:marLeft w:val="0"/>
          <w:marRight w:val="0"/>
          <w:marTop w:val="0"/>
          <w:marBottom w:val="0"/>
          <w:divBdr>
            <w:top w:val="none" w:sz="0" w:space="0" w:color="auto"/>
            <w:left w:val="none" w:sz="0" w:space="0" w:color="auto"/>
            <w:bottom w:val="none" w:sz="0" w:space="0" w:color="auto"/>
            <w:right w:val="none" w:sz="0" w:space="0" w:color="auto"/>
          </w:divBdr>
        </w:div>
        <w:div w:id="1899169861">
          <w:marLeft w:val="0"/>
          <w:marRight w:val="0"/>
          <w:marTop w:val="0"/>
          <w:marBottom w:val="0"/>
          <w:divBdr>
            <w:top w:val="none" w:sz="0" w:space="0" w:color="auto"/>
            <w:left w:val="none" w:sz="0" w:space="0" w:color="auto"/>
            <w:bottom w:val="none" w:sz="0" w:space="0" w:color="auto"/>
            <w:right w:val="none" w:sz="0" w:space="0" w:color="auto"/>
          </w:divBdr>
        </w:div>
        <w:div w:id="2000883114">
          <w:marLeft w:val="0"/>
          <w:marRight w:val="0"/>
          <w:marTop w:val="0"/>
          <w:marBottom w:val="0"/>
          <w:divBdr>
            <w:top w:val="none" w:sz="0" w:space="0" w:color="auto"/>
            <w:left w:val="none" w:sz="0" w:space="0" w:color="auto"/>
            <w:bottom w:val="none" w:sz="0" w:space="0" w:color="auto"/>
            <w:right w:val="none" w:sz="0" w:space="0" w:color="auto"/>
          </w:divBdr>
        </w:div>
        <w:div w:id="2006009724">
          <w:marLeft w:val="0"/>
          <w:marRight w:val="0"/>
          <w:marTop w:val="0"/>
          <w:marBottom w:val="0"/>
          <w:divBdr>
            <w:top w:val="none" w:sz="0" w:space="0" w:color="auto"/>
            <w:left w:val="none" w:sz="0" w:space="0" w:color="auto"/>
            <w:bottom w:val="none" w:sz="0" w:space="0" w:color="auto"/>
            <w:right w:val="none" w:sz="0" w:space="0" w:color="auto"/>
          </w:divBdr>
        </w:div>
        <w:div w:id="2125269063">
          <w:marLeft w:val="0"/>
          <w:marRight w:val="0"/>
          <w:marTop w:val="0"/>
          <w:marBottom w:val="0"/>
          <w:divBdr>
            <w:top w:val="none" w:sz="0" w:space="0" w:color="auto"/>
            <w:left w:val="none" w:sz="0" w:space="0" w:color="auto"/>
            <w:bottom w:val="none" w:sz="0" w:space="0" w:color="auto"/>
            <w:right w:val="none" w:sz="0" w:space="0" w:color="auto"/>
          </w:divBdr>
        </w:div>
      </w:divsChild>
    </w:div>
    <w:div w:id="1138570816">
      <w:bodyDiv w:val="1"/>
      <w:marLeft w:val="0"/>
      <w:marRight w:val="0"/>
      <w:marTop w:val="0"/>
      <w:marBottom w:val="0"/>
      <w:divBdr>
        <w:top w:val="none" w:sz="0" w:space="0" w:color="auto"/>
        <w:left w:val="none" w:sz="0" w:space="0" w:color="auto"/>
        <w:bottom w:val="none" w:sz="0" w:space="0" w:color="auto"/>
        <w:right w:val="none" w:sz="0" w:space="0" w:color="auto"/>
      </w:divBdr>
    </w:div>
    <w:div w:id="1142650012">
      <w:bodyDiv w:val="1"/>
      <w:marLeft w:val="0"/>
      <w:marRight w:val="0"/>
      <w:marTop w:val="0"/>
      <w:marBottom w:val="0"/>
      <w:divBdr>
        <w:top w:val="none" w:sz="0" w:space="0" w:color="auto"/>
        <w:left w:val="none" w:sz="0" w:space="0" w:color="auto"/>
        <w:bottom w:val="none" w:sz="0" w:space="0" w:color="auto"/>
        <w:right w:val="none" w:sz="0" w:space="0" w:color="auto"/>
      </w:divBdr>
    </w:div>
    <w:div w:id="1147359546">
      <w:bodyDiv w:val="1"/>
      <w:marLeft w:val="0"/>
      <w:marRight w:val="0"/>
      <w:marTop w:val="0"/>
      <w:marBottom w:val="0"/>
      <w:divBdr>
        <w:top w:val="none" w:sz="0" w:space="0" w:color="auto"/>
        <w:left w:val="none" w:sz="0" w:space="0" w:color="auto"/>
        <w:bottom w:val="none" w:sz="0" w:space="0" w:color="auto"/>
        <w:right w:val="none" w:sz="0" w:space="0" w:color="auto"/>
      </w:divBdr>
    </w:div>
    <w:div w:id="1161896694">
      <w:bodyDiv w:val="1"/>
      <w:marLeft w:val="0"/>
      <w:marRight w:val="0"/>
      <w:marTop w:val="0"/>
      <w:marBottom w:val="0"/>
      <w:divBdr>
        <w:top w:val="none" w:sz="0" w:space="0" w:color="auto"/>
        <w:left w:val="none" w:sz="0" w:space="0" w:color="auto"/>
        <w:bottom w:val="none" w:sz="0" w:space="0" w:color="auto"/>
        <w:right w:val="none" w:sz="0" w:space="0" w:color="auto"/>
      </w:divBdr>
    </w:div>
    <w:div w:id="1163592843">
      <w:bodyDiv w:val="1"/>
      <w:marLeft w:val="0"/>
      <w:marRight w:val="0"/>
      <w:marTop w:val="0"/>
      <w:marBottom w:val="0"/>
      <w:divBdr>
        <w:top w:val="none" w:sz="0" w:space="0" w:color="auto"/>
        <w:left w:val="none" w:sz="0" w:space="0" w:color="auto"/>
        <w:bottom w:val="none" w:sz="0" w:space="0" w:color="auto"/>
        <w:right w:val="none" w:sz="0" w:space="0" w:color="auto"/>
      </w:divBdr>
    </w:div>
    <w:div w:id="1213925748">
      <w:bodyDiv w:val="1"/>
      <w:marLeft w:val="0"/>
      <w:marRight w:val="0"/>
      <w:marTop w:val="0"/>
      <w:marBottom w:val="0"/>
      <w:divBdr>
        <w:top w:val="none" w:sz="0" w:space="0" w:color="auto"/>
        <w:left w:val="none" w:sz="0" w:space="0" w:color="auto"/>
        <w:bottom w:val="none" w:sz="0" w:space="0" w:color="auto"/>
        <w:right w:val="none" w:sz="0" w:space="0" w:color="auto"/>
      </w:divBdr>
    </w:div>
    <w:div w:id="1251812828">
      <w:bodyDiv w:val="1"/>
      <w:marLeft w:val="0"/>
      <w:marRight w:val="0"/>
      <w:marTop w:val="0"/>
      <w:marBottom w:val="0"/>
      <w:divBdr>
        <w:top w:val="none" w:sz="0" w:space="0" w:color="auto"/>
        <w:left w:val="none" w:sz="0" w:space="0" w:color="auto"/>
        <w:bottom w:val="none" w:sz="0" w:space="0" w:color="auto"/>
        <w:right w:val="none" w:sz="0" w:space="0" w:color="auto"/>
      </w:divBdr>
    </w:div>
    <w:div w:id="1259482301">
      <w:bodyDiv w:val="1"/>
      <w:marLeft w:val="0"/>
      <w:marRight w:val="0"/>
      <w:marTop w:val="0"/>
      <w:marBottom w:val="0"/>
      <w:divBdr>
        <w:top w:val="none" w:sz="0" w:space="0" w:color="auto"/>
        <w:left w:val="none" w:sz="0" w:space="0" w:color="auto"/>
        <w:bottom w:val="none" w:sz="0" w:space="0" w:color="auto"/>
        <w:right w:val="none" w:sz="0" w:space="0" w:color="auto"/>
      </w:divBdr>
    </w:div>
    <w:div w:id="1310138030">
      <w:bodyDiv w:val="1"/>
      <w:marLeft w:val="0"/>
      <w:marRight w:val="0"/>
      <w:marTop w:val="0"/>
      <w:marBottom w:val="0"/>
      <w:divBdr>
        <w:top w:val="none" w:sz="0" w:space="0" w:color="auto"/>
        <w:left w:val="none" w:sz="0" w:space="0" w:color="auto"/>
        <w:bottom w:val="none" w:sz="0" w:space="0" w:color="auto"/>
        <w:right w:val="none" w:sz="0" w:space="0" w:color="auto"/>
      </w:divBdr>
    </w:div>
    <w:div w:id="1321932374">
      <w:bodyDiv w:val="1"/>
      <w:marLeft w:val="0"/>
      <w:marRight w:val="0"/>
      <w:marTop w:val="0"/>
      <w:marBottom w:val="0"/>
      <w:divBdr>
        <w:top w:val="none" w:sz="0" w:space="0" w:color="auto"/>
        <w:left w:val="none" w:sz="0" w:space="0" w:color="auto"/>
        <w:bottom w:val="none" w:sz="0" w:space="0" w:color="auto"/>
        <w:right w:val="none" w:sz="0" w:space="0" w:color="auto"/>
      </w:divBdr>
    </w:div>
    <w:div w:id="1327511284">
      <w:bodyDiv w:val="1"/>
      <w:marLeft w:val="0"/>
      <w:marRight w:val="0"/>
      <w:marTop w:val="0"/>
      <w:marBottom w:val="0"/>
      <w:divBdr>
        <w:top w:val="none" w:sz="0" w:space="0" w:color="auto"/>
        <w:left w:val="none" w:sz="0" w:space="0" w:color="auto"/>
        <w:bottom w:val="none" w:sz="0" w:space="0" w:color="auto"/>
        <w:right w:val="none" w:sz="0" w:space="0" w:color="auto"/>
      </w:divBdr>
    </w:div>
    <w:div w:id="1328901561">
      <w:bodyDiv w:val="1"/>
      <w:marLeft w:val="0"/>
      <w:marRight w:val="0"/>
      <w:marTop w:val="0"/>
      <w:marBottom w:val="0"/>
      <w:divBdr>
        <w:top w:val="none" w:sz="0" w:space="0" w:color="auto"/>
        <w:left w:val="none" w:sz="0" w:space="0" w:color="auto"/>
        <w:bottom w:val="none" w:sz="0" w:space="0" w:color="auto"/>
        <w:right w:val="none" w:sz="0" w:space="0" w:color="auto"/>
      </w:divBdr>
    </w:div>
    <w:div w:id="1366908936">
      <w:bodyDiv w:val="1"/>
      <w:marLeft w:val="0"/>
      <w:marRight w:val="0"/>
      <w:marTop w:val="0"/>
      <w:marBottom w:val="0"/>
      <w:divBdr>
        <w:top w:val="none" w:sz="0" w:space="0" w:color="auto"/>
        <w:left w:val="none" w:sz="0" w:space="0" w:color="auto"/>
        <w:bottom w:val="none" w:sz="0" w:space="0" w:color="auto"/>
        <w:right w:val="none" w:sz="0" w:space="0" w:color="auto"/>
      </w:divBdr>
    </w:div>
    <w:div w:id="1367753489">
      <w:bodyDiv w:val="1"/>
      <w:marLeft w:val="0"/>
      <w:marRight w:val="0"/>
      <w:marTop w:val="0"/>
      <w:marBottom w:val="0"/>
      <w:divBdr>
        <w:top w:val="none" w:sz="0" w:space="0" w:color="auto"/>
        <w:left w:val="none" w:sz="0" w:space="0" w:color="auto"/>
        <w:bottom w:val="none" w:sz="0" w:space="0" w:color="auto"/>
        <w:right w:val="none" w:sz="0" w:space="0" w:color="auto"/>
      </w:divBdr>
    </w:div>
    <w:div w:id="1367868875">
      <w:bodyDiv w:val="1"/>
      <w:marLeft w:val="0"/>
      <w:marRight w:val="0"/>
      <w:marTop w:val="0"/>
      <w:marBottom w:val="0"/>
      <w:divBdr>
        <w:top w:val="none" w:sz="0" w:space="0" w:color="auto"/>
        <w:left w:val="none" w:sz="0" w:space="0" w:color="auto"/>
        <w:bottom w:val="none" w:sz="0" w:space="0" w:color="auto"/>
        <w:right w:val="none" w:sz="0" w:space="0" w:color="auto"/>
      </w:divBdr>
    </w:div>
    <w:div w:id="1376810884">
      <w:bodyDiv w:val="1"/>
      <w:marLeft w:val="0"/>
      <w:marRight w:val="0"/>
      <w:marTop w:val="0"/>
      <w:marBottom w:val="0"/>
      <w:divBdr>
        <w:top w:val="none" w:sz="0" w:space="0" w:color="auto"/>
        <w:left w:val="none" w:sz="0" w:space="0" w:color="auto"/>
        <w:bottom w:val="none" w:sz="0" w:space="0" w:color="auto"/>
        <w:right w:val="none" w:sz="0" w:space="0" w:color="auto"/>
      </w:divBdr>
    </w:div>
    <w:div w:id="1404913300">
      <w:bodyDiv w:val="1"/>
      <w:marLeft w:val="0"/>
      <w:marRight w:val="0"/>
      <w:marTop w:val="0"/>
      <w:marBottom w:val="0"/>
      <w:divBdr>
        <w:top w:val="none" w:sz="0" w:space="0" w:color="auto"/>
        <w:left w:val="none" w:sz="0" w:space="0" w:color="auto"/>
        <w:bottom w:val="none" w:sz="0" w:space="0" w:color="auto"/>
        <w:right w:val="none" w:sz="0" w:space="0" w:color="auto"/>
      </w:divBdr>
    </w:div>
    <w:div w:id="1480802145">
      <w:bodyDiv w:val="1"/>
      <w:marLeft w:val="0"/>
      <w:marRight w:val="0"/>
      <w:marTop w:val="0"/>
      <w:marBottom w:val="0"/>
      <w:divBdr>
        <w:top w:val="none" w:sz="0" w:space="0" w:color="auto"/>
        <w:left w:val="none" w:sz="0" w:space="0" w:color="auto"/>
        <w:bottom w:val="none" w:sz="0" w:space="0" w:color="auto"/>
        <w:right w:val="none" w:sz="0" w:space="0" w:color="auto"/>
      </w:divBdr>
    </w:div>
    <w:div w:id="1487471947">
      <w:bodyDiv w:val="1"/>
      <w:marLeft w:val="0"/>
      <w:marRight w:val="0"/>
      <w:marTop w:val="0"/>
      <w:marBottom w:val="0"/>
      <w:divBdr>
        <w:top w:val="none" w:sz="0" w:space="0" w:color="auto"/>
        <w:left w:val="none" w:sz="0" w:space="0" w:color="auto"/>
        <w:bottom w:val="none" w:sz="0" w:space="0" w:color="auto"/>
        <w:right w:val="none" w:sz="0" w:space="0" w:color="auto"/>
      </w:divBdr>
    </w:div>
    <w:div w:id="1526669163">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77402530">
      <w:bodyDiv w:val="1"/>
      <w:marLeft w:val="0"/>
      <w:marRight w:val="0"/>
      <w:marTop w:val="0"/>
      <w:marBottom w:val="0"/>
      <w:divBdr>
        <w:top w:val="none" w:sz="0" w:space="0" w:color="auto"/>
        <w:left w:val="none" w:sz="0" w:space="0" w:color="auto"/>
        <w:bottom w:val="none" w:sz="0" w:space="0" w:color="auto"/>
        <w:right w:val="none" w:sz="0" w:space="0" w:color="auto"/>
      </w:divBdr>
      <w:divsChild>
        <w:div w:id="187374099">
          <w:marLeft w:val="0"/>
          <w:marRight w:val="0"/>
          <w:marTop w:val="0"/>
          <w:marBottom w:val="0"/>
          <w:divBdr>
            <w:top w:val="none" w:sz="0" w:space="0" w:color="auto"/>
            <w:left w:val="none" w:sz="0" w:space="0" w:color="auto"/>
            <w:bottom w:val="none" w:sz="0" w:space="0" w:color="auto"/>
            <w:right w:val="none" w:sz="0" w:space="0" w:color="auto"/>
          </w:divBdr>
        </w:div>
        <w:div w:id="195045299">
          <w:marLeft w:val="0"/>
          <w:marRight w:val="0"/>
          <w:marTop w:val="0"/>
          <w:marBottom w:val="0"/>
          <w:divBdr>
            <w:top w:val="none" w:sz="0" w:space="0" w:color="auto"/>
            <w:left w:val="none" w:sz="0" w:space="0" w:color="auto"/>
            <w:bottom w:val="none" w:sz="0" w:space="0" w:color="auto"/>
            <w:right w:val="none" w:sz="0" w:space="0" w:color="auto"/>
          </w:divBdr>
        </w:div>
        <w:div w:id="207494383">
          <w:marLeft w:val="0"/>
          <w:marRight w:val="0"/>
          <w:marTop w:val="0"/>
          <w:marBottom w:val="0"/>
          <w:divBdr>
            <w:top w:val="none" w:sz="0" w:space="0" w:color="auto"/>
            <w:left w:val="none" w:sz="0" w:space="0" w:color="auto"/>
            <w:bottom w:val="none" w:sz="0" w:space="0" w:color="auto"/>
            <w:right w:val="none" w:sz="0" w:space="0" w:color="auto"/>
          </w:divBdr>
        </w:div>
        <w:div w:id="475992241">
          <w:marLeft w:val="0"/>
          <w:marRight w:val="0"/>
          <w:marTop w:val="0"/>
          <w:marBottom w:val="0"/>
          <w:divBdr>
            <w:top w:val="none" w:sz="0" w:space="0" w:color="auto"/>
            <w:left w:val="none" w:sz="0" w:space="0" w:color="auto"/>
            <w:bottom w:val="none" w:sz="0" w:space="0" w:color="auto"/>
            <w:right w:val="none" w:sz="0" w:space="0" w:color="auto"/>
          </w:divBdr>
        </w:div>
        <w:div w:id="1494833526">
          <w:marLeft w:val="0"/>
          <w:marRight w:val="0"/>
          <w:marTop w:val="0"/>
          <w:marBottom w:val="0"/>
          <w:divBdr>
            <w:top w:val="none" w:sz="0" w:space="0" w:color="auto"/>
            <w:left w:val="none" w:sz="0" w:space="0" w:color="auto"/>
            <w:bottom w:val="none" w:sz="0" w:space="0" w:color="auto"/>
            <w:right w:val="none" w:sz="0" w:space="0" w:color="auto"/>
          </w:divBdr>
        </w:div>
        <w:div w:id="1551266096">
          <w:marLeft w:val="0"/>
          <w:marRight w:val="0"/>
          <w:marTop w:val="0"/>
          <w:marBottom w:val="0"/>
          <w:divBdr>
            <w:top w:val="none" w:sz="0" w:space="0" w:color="auto"/>
            <w:left w:val="none" w:sz="0" w:space="0" w:color="auto"/>
            <w:bottom w:val="none" w:sz="0" w:space="0" w:color="auto"/>
            <w:right w:val="none" w:sz="0" w:space="0" w:color="auto"/>
          </w:divBdr>
        </w:div>
        <w:div w:id="1691368402">
          <w:marLeft w:val="0"/>
          <w:marRight w:val="0"/>
          <w:marTop w:val="0"/>
          <w:marBottom w:val="0"/>
          <w:divBdr>
            <w:top w:val="none" w:sz="0" w:space="0" w:color="auto"/>
            <w:left w:val="none" w:sz="0" w:space="0" w:color="auto"/>
            <w:bottom w:val="none" w:sz="0" w:space="0" w:color="auto"/>
            <w:right w:val="none" w:sz="0" w:space="0" w:color="auto"/>
          </w:divBdr>
        </w:div>
      </w:divsChild>
    </w:div>
    <w:div w:id="1654026457">
      <w:bodyDiv w:val="1"/>
      <w:marLeft w:val="0"/>
      <w:marRight w:val="0"/>
      <w:marTop w:val="0"/>
      <w:marBottom w:val="0"/>
      <w:divBdr>
        <w:top w:val="none" w:sz="0" w:space="0" w:color="auto"/>
        <w:left w:val="none" w:sz="0" w:space="0" w:color="auto"/>
        <w:bottom w:val="none" w:sz="0" w:space="0" w:color="auto"/>
        <w:right w:val="none" w:sz="0" w:space="0" w:color="auto"/>
      </w:divBdr>
    </w:div>
    <w:div w:id="1666937421">
      <w:bodyDiv w:val="1"/>
      <w:marLeft w:val="0"/>
      <w:marRight w:val="0"/>
      <w:marTop w:val="0"/>
      <w:marBottom w:val="0"/>
      <w:divBdr>
        <w:top w:val="none" w:sz="0" w:space="0" w:color="auto"/>
        <w:left w:val="none" w:sz="0" w:space="0" w:color="auto"/>
        <w:bottom w:val="none" w:sz="0" w:space="0" w:color="auto"/>
        <w:right w:val="none" w:sz="0" w:space="0" w:color="auto"/>
      </w:divBdr>
    </w:div>
    <w:div w:id="1701205922">
      <w:bodyDiv w:val="1"/>
      <w:marLeft w:val="0"/>
      <w:marRight w:val="0"/>
      <w:marTop w:val="0"/>
      <w:marBottom w:val="0"/>
      <w:divBdr>
        <w:top w:val="none" w:sz="0" w:space="0" w:color="auto"/>
        <w:left w:val="none" w:sz="0" w:space="0" w:color="auto"/>
        <w:bottom w:val="none" w:sz="0" w:space="0" w:color="auto"/>
        <w:right w:val="none" w:sz="0" w:space="0" w:color="auto"/>
      </w:divBdr>
    </w:div>
    <w:div w:id="1758751707">
      <w:bodyDiv w:val="1"/>
      <w:marLeft w:val="0"/>
      <w:marRight w:val="0"/>
      <w:marTop w:val="0"/>
      <w:marBottom w:val="0"/>
      <w:divBdr>
        <w:top w:val="none" w:sz="0" w:space="0" w:color="auto"/>
        <w:left w:val="none" w:sz="0" w:space="0" w:color="auto"/>
        <w:bottom w:val="none" w:sz="0" w:space="0" w:color="auto"/>
        <w:right w:val="none" w:sz="0" w:space="0" w:color="auto"/>
      </w:divBdr>
    </w:div>
    <w:div w:id="1763408522">
      <w:bodyDiv w:val="1"/>
      <w:marLeft w:val="0"/>
      <w:marRight w:val="0"/>
      <w:marTop w:val="0"/>
      <w:marBottom w:val="0"/>
      <w:divBdr>
        <w:top w:val="none" w:sz="0" w:space="0" w:color="auto"/>
        <w:left w:val="none" w:sz="0" w:space="0" w:color="auto"/>
        <w:bottom w:val="none" w:sz="0" w:space="0" w:color="auto"/>
        <w:right w:val="none" w:sz="0" w:space="0" w:color="auto"/>
      </w:divBdr>
    </w:div>
    <w:div w:id="1780759656">
      <w:bodyDiv w:val="1"/>
      <w:marLeft w:val="0"/>
      <w:marRight w:val="0"/>
      <w:marTop w:val="0"/>
      <w:marBottom w:val="0"/>
      <w:divBdr>
        <w:top w:val="none" w:sz="0" w:space="0" w:color="auto"/>
        <w:left w:val="none" w:sz="0" w:space="0" w:color="auto"/>
        <w:bottom w:val="none" w:sz="0" w:space="0" w:color="auto"/>
        <w:right w:val="none" w:sz="0" w:space="0" w:color="auto"/>
      </w:divBdr>
    </w:div>
    <w:div w:id="1812089149">
      <w:bodyDiv w:val="1"/>
      <w:marLeft w:val="0"/>
      <w:marRight w:val="0"/>
      <w:marTop w:val="0"/>
      <w:marBottom w:val="0"/>
      <w:divBdr>
        <w:top w:val="none" w:sz="0" w:space="0" w:color="auto"/>
        <w:left w:val="none" w:sz="0" w:space="0" w:color="auto"/>
        <w:bottom w:val="none" w:sz="0" w:space="0" w:color="auto"/>
        <w:right w:val="none" w:sz="0" w:space="0" w:color="auto"/>
      </w:divBdr>
    </w:div>
    <w:div w:id="1865098128">
      <w:bodyDiv w:val="1"/>
      <w:marLeft w:val="0"/>
      <w:marRight w:val="0"/>
      <w:marTop w:val="0"/>
      <w:marBottom w:val="0"/>
      <w:divBdr>
        <w:top w:val="none" w:sz="0" w:space="0" w:color="auto"/>
        <w:left w:val="none" w:sz="0" w:space="0" w:color="auto"/>
        <w:bottom w:val="none" w:sz="0" w:space="0" w:color="auto"/>
        <w:right w:val="none" w:sz="0" w:space="0" w:color="auto"/>
      </w:divBdr>
    </w:div>
    <w:div w:id="1881672352">
      <w:bodyDiv w:val="1"/>
      <w:marLeft w:val="0"/>
      <w:marRight w:val="0"/>
      <w:marTop w:val="0"/>
      <w:marBottom w:val="0"/>
      <w:divBdr>
        <w:top w:val="none" w:sz="0" w:space="0" w:color="auto"/>
        <w:left w:val="none" w:sz="0" w:space="0" w:color="auto"/>
        <w:bottom w:val="none" w:sz="0" w:space="0" w:color="auto"/>
        <w:right w:val="none" w:sz="0" w:space="0" w:color="auto"/>
      </w:divBdr>
    </w:div>
    <w:div w:id="1955096413">
      <w:bodyDiv w:val="1"/>
      <w:marLeft w:val="0"/>
      <w:marRight w:val="0"/>
      <w:marTop w:val="0"/>
      <w:marBottom w:val="0"/>
      <w:divBdr>
        <w:top w:val="none" w:sz="0" w:space="0" w:color="auto"/>
        <w:left w:val="none" w:sz="0" w:space="0" w:color="auto"/>
        <w:bottom w:val="none" w:sz="0" w:space="0" w:color="auto"/>
        <w:right w:val="none" w:sz="0" w:space="0" w:color="auto"/>
      </w:divBdr>
    </w:div>
    <w:div w:id="1957373654">
      <w:bodyDiv w:val="1"/>
      <w:marLeft w:val="0"/>
      <w:marRight w:val="0"/>
      <w:marTop w:val="0"/>
      <w:marBottom w:val="0"/>
      <w:divBdr>
        <w:top w:val="none" w:sz="0" w:space="0" w:color="auto"/>
        <w:left w:val="none" w:sz="0" w:space="0" w:color="auto"/>
        <w:bottom w:val="none" w:sz="0" w:space="0" w:color="auto"/>
        <w:right w:val="none" w:sz="0" w:space="0" w:color="auto"/>
      </w:divBdr>
    </w:div>
    <w:div w:id="1967200769">
      <w:bodyDiv w:val="1"/>
      <w:marLeft w:val="0"/>
      <w:marRight w:val="0"/>
      <w:marTop w:val="0"/>
      <w:marBottom w:val="0"/>
      <w:divBdr>
        <w:top w:val="none" w:sz="0" w:space="0" w:color="auto"/>
        <w:left w:val="none" w:sz="0" w:space="0" w:color="auto"/>
        <w:bottom w:val="none" w:sz="0" w:space="0" w:color="auto"/>
        <w:right w:val="none" w:sz="0" w:space="0" w:color="auto"/>
      </w:divBdr>
    </w:div>
    <w:div w:id="2021466696">
      <w:bodyDiv w:val="1"/>
      <w:marLeft w:val="0"/>
      <w:marRight w:val="0"/>
      <w:marTop w:val="0"/>
      <w:marBottom w:val="0"/>
      <w:divBdr>
        <w:top w:val="none" w:sz="0" w:space="0" w:color="auto"/>
        <w:left w:val="none" w:sz="0" w:space="0" w:color="auto"/>
        <w:bottom w:val="none" w:sz="0" w:space="0" w:color="auto"/>
        <w:right w:val="none" w:sz="0" w:space="0" w:color="auto"/>
      </w:divBdr>
    </w:div>
    <w:div w:id="2034650174">
      <w:bodyDiv w:val="1"/>
      <w:marLeft w:val="0"/>
      <w:marRight w:val="0"/>
      <w:marTop w:val="0"/>
      <w:marBottom w:val="0"/>
      <w:divBdr>
        <w:top w:val="none" w:sz="0" w:space="0" w:color="auto"/>
        <w:left w:val="none" w:sz="0" w:space="0" w:color="auto"/>
        <w:bottom w:val="none" w:sz="0" w:space="0" w:color="auto"/>
        <w:right w:val="none" w:sz="0" w:space="0" w:color="auto"/>
      </w:divBdr>
    </w:div>
    <w:div w:id="2054619335">
      <w:bodyDiv w:val="1"/>
      <w:marLeft w:val="0"/>
      <w:marRight w:val="0"/>
      <w:marTop w:val="0"/>
      <w:marBottom w:val="0"/>
      <w:divBdr>
        <w:top w:val="none" w:sz="0" w:space="0" w:color="auto"/>
        <w:left w:val="none" w:sz="0" w:space="0" w:color="auto"/>
        <w:bottom w:val="none" w:sz="0" w:space="0" w:color="auto"/>
        <w:right w:val="none" w:sz="0" w:space="0" w:color="auto"/>
      </w:divBdr>
    </w:div>
    <w:div w:id="2074691645">
      <w:bodyDiv w:val="1"/>
      <w:marLeft w:val="0"/>
      <w:marRight w:val="0"/>
      <w:marTop w:val="0"/>
      <w:marBottom w:val="0"/>
      <w:divBdr>
        <w:top w:val="none" w:sz="0" w:space="0" w:color="auto"/>
        <w:left w:val="none" w:sz="0" w:space="0" w:color="auto"/>
        <w:bottom w:val="none" w:sz="0" w:space="0" w:color="auto"/>
        <w:right w:val="none" w:sz="0" w:space="0" w:color="auto"/>
      </w:divBdr>
    </w:div>
    <w:div w:id="2095470507">
      <w:bodyDiv w:val="1"/>
      <w:marLeft w:val="0"/>
      <w:marRight w:val="0"/>
      <w:marTop w:val="0"/>
      <w:marBottom w:val="0"/>
      <w:divBdr>
        <w:top w:val="none" w:sz="0" w:space="0" w:color="auto"/>
        <w:left w:val="none" w:sz="0" w:space="0" w:color="auto"/>
        <w:bottom w:val="none" w:sz="0" w:space="0" w:color="auto"/>
        <w:right w:val="none" w:sz="0" w:space="0" w:color="auto"/>
      </w:divBdr>
    </w:div>
    <w:div w:id="214408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png"/><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emf"/><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hart" Target="charts/chart3.xml"/><Relationship Id="rId28" Type="http://schemas.openxmlformats.org/officeDocument/2006/relationships/chart" Target="charts/chart7.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hart" Target="charts/chart2.xml"/><Relationship Id="rId27" Type="http://schemas.openxmlformats.org/officeDocument/2006/relationships/chart" Target="charts/chart6.xml"/><Relationship Id="rId30" Type="http://schemas.openxmlformats.org/officeDocument/2006/relationships/header" Target="header4.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CA"/>
              <a:t> Enrolment (ADE)</a:t>
            </a:r>
          </a:p>
        </c:rich>
      </c:tx>
      <c:layout>
        <c:manualLayout>
          <c:xMode val="edge"/>
          <c:yMode val="edge"/>
          <c:x val="0.44238856924751552"/>
          <c:y val="1.9639942110894672E-2"/>
        </c:manualLayout>
      </c:layout>
      <c:overlay val="0"/>
      <c:spPr>
        <a:noFill/>
        <a:ln w="25400">
          <a:noFill/>
        </a:ln>
      </c:spPr>
    </c:title>
    <c:autoTitleDeleted val="0"/>
    <c:plotArea>
      <c:layout>
        <c:manualLayout>
          <c:layoutTarget val="inner"/>
          <c:xMode val="edge"/>
          <c:yMode val="edge"/>
          <c:x val="7.1225642249264282E-2"/>
          <c:y val="8.6254438783387358E-2"/>
          <c:w val="0.79082401504120781"/>
          <c:h val="0.69849415881838295"/>
        </c:manualLayout>
      </c:layout>
      <c:barChart>
        <c:barDir val="col"/>
        <c:grouping val="clustered"/>
        <c:varyColors val="0"/>
        <c:ser>
          <c:idx val="0"/>
          <c:order val="0"/>
          <c:tx>
            <c:v>JK</c:v>
          </c:tx>
          <c:spPr>
            <a:solidFill>
              <a:srgbClr val="9999FF"/>
            </a:solidFill>
            <a:ln w="12700">
              <a:solidFill>
                <a:srgbClr val="000000"/>
              </a:solidFill>
              <a:prstDash val="solid"/>
            </a:ln>
          </c:spPr>
          <c:invertIfNegative val="0"/>
          <c:cat>
            <c:strRef>
              <c:f>'By grade'!$A$36:$A$40</c:f>
              <c:strCache>
                <c:ptCount val="5"/>
                <c:pt idx="0">
                  <c:v>2018-19</c:v>
                </c:pt>
                <c:pt idx="1">
                  <c:v>2019-20</c:v>
                </c:pt>
                <c:pt idx="2">
                  <c:v>2020-21 </c:v>
                </c:pt>
                <c:pt idx="3">
                  <c:v>2021-22 Revised</c:v>
                </c:pt>
                <c:pt idx="4">
                  <c:v>2022-23 Estimates</c:v>
                </c:pt>
              </c:strCache>
            </c:strRef>
          </c:cat>
          <c:val>
            <c:numRef>
              <c:f>'By grade'!$C$36:$C$40</c:f>
              <c:numCache>
                <c:formatCode>_(* #,##0_);_(* \(#,##0\);_(* "-"??_);_(@_)</c:formatCode>
                <c:ptCount val="5"/>
                <c:pt idx="0">
                  <c:v>380</c:v>
                </c:pt>
                <c:pt idx="1">
                  <c:v>409</c:v>
                </c:pt>
                <c:pt idx="2">
                  <c:v>381</c:v>
                </c:pt>
                <c:pt idx="3">
                  <c:v>354</c:v>
                </c:pt>
                <c:pt idx="4">
                  <c:v>328</c:v>
                </c:pt>
              </c:numCache>
            </c:numRef>
          </c:val>
          <c:extLst>
            <c:ext xmlns:c16="http://schemas.microsoft.com/office/drawing/2014/chart" uri="{C3380CC4-5D6E-409C-BE32-E72D297353CC}">
              <c16:uniqueId val="{00000000-B534-4FAE-8C01-958AF572B909}"/>
            </c:ext>
          </c:extLst>
        </c:ser>
        <c:ser>
          <c:idx val="1"/>
          <c:order val="1"/>
          <c:tx>
            <c:v>SK</c:v>
          </c:tx>
          <c:spPr>
            <a:solidFill>
              <a:srgbClr val="993366"/>
            </a:solidFill>
            <a:ln w="12700">
              <a:solidFill>
                <a:srgbClr val="000000"/>
              </a:solidFill>
              <a:prstDash val="solid"/>
            </a:ln>
          </c:spPr>
          <c:invertIfNegative val="0"/>
          <c:cat>
            <c:strRef>
              <c:f>'By grade'!$A$36:$A$40</c:f>
              <c:strCache>
                <c:ptCount val="5"/>
                <c:pt idx="0">
                  <c:v>2018-19</c:v>
                </c:pt>
                <c:pt idx="1">
                  <c:v>2019-20</c:v>
                </c:pt>
                <c:pt idx="2">
                  <c:v>2020-21 </c:v>
                </c:pt>
                <c:pt idx="3">
                  <c:v>2021-22 Revised</c:v>
                </c:pt>
                <c:pt idx="4">
                  <c:v>2022-23 Estimates</c:v>
                </c:pt>
              </c:strCache>
            </c:strRef>
          </c:cat>
          <c:val>
            <c:numRef>
              <c:f>'By grade'!$D$36:$D$40</c:f>
              <c:numCache>
                <c:formatCode>_(* #,##0_);_(* \(#,##0\);_(* "-"??_);_(@_)</c:formatCode>
                <c:ptCount val="5"/>
                <c:pt idx="0">
                  <c:v>421</c:v>
                </c:pt>
                <c:pt idx="1">
                  <c:v>429</c:v>
                </c:pt>
                <c:pt idx="2">
                  <c:v>418</c:v>
                </c:pt>
                <c:pt idx="3">
                  <c:v>426</c:v>
                </c:pt>
                <c:pt idx="4">
                  <c:v>364</c:v>
                </c:pt>
              </c:numCache>
            </c:numRef>
          </c:val>
          <c:extLst>
            <c:ext xmlns:c16="http://schemas.microsoft.com/office/drawing/2014/chart" uri="{C3380CC4-5D6E-409C-BE32-E72D297353CC}">
              <c16:uniqueId val="{00000001-B534-4FAE-8C01-958AF572B909}"/>
            </c:ext>
          </c:extLst>
        </c:ser>
        <c:ser>
          <c:idx val="2"/>
          <c:order val="2"/>
          <c:tx>
            <c:v>Grades 1-3</c:v>
          </c:tx>
          <c:spPr>
            <a:solidFill>
              <a:srgbClr val="FFFFCC"/>
            </a:solidFill>
            <a:ln w="38100">
              <a:solidFill>
                <a:srgbClr val="000080"/>
              </a:solidFill>
              <a:prstDash val="solid"/>
            </a:ln>
          </c:spPr>
          <c:invertIfNegative val="0"/>
          <c:cat>
            <c:strRef>
              <c:f>'By grade'!$A$36:$A$40</c:f>
              <c:strCache>
                <c:ptCount val="5"/>
                <c:pt idx="0">
                  <c:v>2018-19</c:v>
                </c:pt>
                <c:pt idx="1">
                  <c:v>2019-20</c:v>
                </c:pt>
                <c:pt idx="2">
                  <c:v>2020-21 </c:v>
                </c:pt>
                <c:pt idx="3">
                  <c:v>2021-22 Revised</c:v>
                </c:pt>
                <c:pt idx="4">
                  <c:v>2022-23 Estimates</c:v>
                </c:pt>
              </c:strCache>
            </c:strRef>
          </c:cat>
          <c:val>
            <c:numRef>
              <c:f>'By grade'!$E$36:$E$40</c:f>
              <c:numCache>
                <c:formatCode>_(* #,##0_);_(* \(#,##0\);_(* "-"??_);_(@_)</c:formatCode>
                <c:ptCount val="5"/>
                <c:pt idx="0">
                  <c:v>1205</c:v>
                </c:pt>
                <c:pt idx="1">
                  <c:v>1320</c:v>
                </c:pt>
                <c:pt idx="2">
                  <c:v>1357</c:v>
                </c:pt>
                <c:pt idx="3">
                  <c:v>1371</c:v>
                </c:pt>
                <c:pt idx="4">
                  <c:v>1333</c:v>
                </c:pt>
              </c:numCache>
            </c:numRef>
          </c:val>
          <c:extLst>
            <c:ext xmlns:c16="http://schemas.microsoft.com/office/drawing/2014/chart" uri="{C3380CC4-5D6E-409C-BE32-E72D297353CC}">
              <c16:uniqueId val="{00000002-B534-4FAE-8C01-958AF572B909}"/>
            </c:ext>
          </c:extLst>
        </c:ser>
        <c:ser>
          <c:idx val="3"/>
          <c:order val="3"/>
          <c:tx>
            <c:v>Grades 4-8</c:v>
          </c:tx>
          <c:spPr>
            <a:solidFill>
              <a:srgbClr val="CCFFFF"/>
            </a:solidFill>
            <a:ln w="12700">
              <a:solidFill>
                <a:srgbClr val="000000"/>
              </a:solidFill>
              <a:prstDash val="solid"/>
            </a:ln>
          </c:spPr>
          <c:invertIfNegative val="0"/>
          <c:cat>
            <c:strRef>
              <c:f>'By grade'!$A$36:$A$40</c:f>
              <c:strCache>
                <c:ptCount val="5"/>
                <c:pt idx="0">
                  <c:v>2018-19</c:v>
                </c:pt>
                <c:pt idx="1">
                  <c:v>2019-20</c:v>
                </c:pt>
                <c:pt idx="2">
                  <c:v>2020-21 </c:v>
                </c:pt>
                <c:pt idx="3">
                  <c:v>2021-22 Revised</c:v>
                </c:pt>
                <c:pt idx="4">
                  <c:v>2022-23 Estimates</c:v>
                </c:pt>
              </c:strCache>
            </c:strRef>
          </c:cat>
          <c:val>
            <c:numRef>
              <c:f>'By grade'!$F$36:$F$40</c:f>
              <c:numCache>
                <c:formatCode>_(* #,##0_);_(* \(#,##0\);_(* "-"??_);_(@_)</c:formatCode>
                <c:ptCount val="5"/>
                <c:pt idx="0">
                  <c:v>2092</c:v>
                </c:pt>
                <c:pt idx="1">
                  <c:v>2255</c:v>
                </c:pt>
                <c:pt idx="2">
                  <c:v>2268</c:v>
                </c:pt>
                <c:pt idx="3">
                  <c:v>2284</c:v>
                </c:pt>
                <c:pt idx="4">
                  <c:v>2341</c:v>
                </c:pt>
              </c:numCache>
            </c:numRef>
          </c:val>
          <c:extLst>
            <c:ext xmlns:c16="http://schemas.microsoft.com/office/drawing/2014/chart" uri="{C3380CC4-5D6E-409C-BE32-E72D297353CC}">
              <c16:uniqueId val="{00000003-B534-4FAE-8C01-958AF572B909}"/>
            </c:ext>
          </c:extLst>
        </c:ser>
        <c:dLbls>
          <c:showLegendKey val="0"/>
          <c:showVal val="0"/>
          <c:showCatName val="0"/>
          <c:showSerName val="0"/>
          <c:showPercent val="0"/>
          <c:showBubbleSize val="0"/>
        </c:dLbls>
        <c:gapWidth val="150"/>
        <c:axId val="1546421424"/>
        <c:axId val="1"/>
      </c:barChart>
      <c:catAx>
        <c:axId val="1546421424"/>
        <c:scaling>
          <c:orientation val="minMax"/>
        </c:scaling>
        <c:delete val="0"/>
        <c:axPos val="b"/>
        <c:numFmt formatCode="m/d/yyyy" sourceLinked="0"/>
        <c:majorTickMark val="out"/>
        <c:minorTickMark val="none"/>
        <c:tickLblPos val="nextTo"/>
        <c:spPr>
          <a:ln w="3175">
            <a:solidFill>
              <a:srgbClr val="000000"/>
            </a:solidFill>
            <a:prstDash val="solid"/>
          </a:ln>
        </c:spPr>
        <c:txPr>
          <a:bodyPr rot="0" vert="horz" anchor="ctr" anchorCtr="1"/>
          <a:lstStyle/>
          <a:p>
            <a:pPr>
              <a:defRPr sz="1000" b="0" i="0" u="none" strike="noStrike" baseline="0">
                <a:solidFill>
                  <a:srgbClr val="000000"/>
                </a:solidFill>
                <a:latin typeface="Lato"/>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_(* #,##0_);_(* \(#,##0\);_(* &quot;-&quot;??_);_(@_)"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546421424"/>
        <c:crosses val="autoZero"/>
        <c:crossBetween val="between"/>
      </c:valAx>
      <c:spPr>
        <a:solidFill>
          <a:srgbClr val="FFFFFF"/>
        </a:solidFill>
        <a:ln w="12700">
          <a:solidFill>
            <a:srgbClr val="808080"/>
          </a:solidFill>
          <a:prstDash val="solid"/>
        </a:ln>
      </c:spPr>
    </c:plotArea>
    <c:legend>
      <c:legendPos val="r"/>
      <c:layout>
        <c:manualLayout>
          <c:xMode val="edge"/>
          <c:yMode val="edge"/>
          <c:x val="0.31646089911837949"/>
          <c:y val="0.91436166912151318"/>
          <c:w val="0.34560822573945932"/>
          <c:h val="8.4626112912356541E-2"/>
        </c:manualLayout>
      </c:layout>
      <c:overlay val="0"/>
      <c:spPr>
        <a:solidFill>
          <a:srgbClr val="FFFFFF"/>
        </a:solidFill>
        <a:ln w="3175">
          <a:solidFill>
            <a:srgbClr val="000000"/>
          </a:solidFill>
          <a:prstDash val="solid"/>
        </a:ln>
      </c:spPr>
      <c:txPr>
        <a:bodyPr/>
        <a:lstStyle/>
        <a:p>
          <a:pPr>
            <a:defRPr sz="775" b="0" i="0" u="none" strike="noStrike" baseline="0">
              <a:solidFill>
                <a:srgbClr val="000000"/>
              </a:solidFill>
              <a:latin typeface="Arial"/>
              <a:ea typeface="Arial"/>
              <a:cs typeface="Arial"/>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CA"/>
              <a:t> Elementary Enrolment
Average Daily Enrolment (ADE)</a:t>
            </a:r>
          </a:p>
        </c:rich>
      </c:tx>
      <c:layout>
        <c:manualLayout>
          <c:xMode val="edge"/>
          <c:yMode val="edge"/>
          <c:x val="0.36454849264182093"/>
          <c:y val="1.9639924703010559E-2"/>
        </c:manualLayout>
      </c:layout>
      <c:overlay val="0"/>
      <c:spPr>
        <a:noFill/>
        <a:ln w="25400">
          <a:noFill/>
        </a:ln>
      </c:spPr>
    </c:title>
    <c:autoTitleDeleted val="0"/>
    <c:plotArea>
      <c:layout>
        <c:manualLayout>
          <c:layoutTarget val="inner"/>
          <c:xMode val="edge"/>
          <c:yMode val="edge"/>
          <c:x val="9.7354685726654663E-2"/>
          <c:y val="0.14895692470280125"/>
          <c:w val="0.8929765886287625"/>
          <c:h val="0.73813420621931258"/>
        </c:manualLayout>
      </c:layout>
      <c:lineChart>
        <c:grouping val="standard"/>
        <c:varyColors val="0"/>
        <c:ser>
          <c:idx val="0"/>
          <c:order val="0"/>
          <c:spPr>
            <a:ln w="25400">
              <a:solidFill>
                <a:srgbClr val="000080"/>
              </a:solidFill>
              <a:prstDash val="solid"/>
            </a:ln>
          </c:spPr>
          <c:marker>
            <c:symbol val="diamond"/>
            <c:size val="7"/>
            <c:spPr>
              <a:solidFill>
                <a:srgbClr val="000080"/>
              </a:solidFill>
              <a:ln>
                <a:solidFill>
                  <a:srgbClr val="000080"/>
                </a:solidFill>
                <a:prstDash val="solid"/>
              </a:ln>
            </c:spPr>
          </c:marker>
          <c:dLbls>
            <c:numFmt formatCode="_(* #,##0_);_(* \(#,##0\);_(* &quot;-&quot;_);_(@_)" sourceLinked="0"/>
            <c:spPr>
              <a:noFill/>
              <a:ln w="25400">
                <a:noFill/>
              </a:ln>
            </c:spPr>
            <c:txPr>
              <a:bodyPr wrap="square" lIns="38100" tIns="19050" rIns="38100" bIns="19050" anchor="ctr">
                <a:spAutoFit/>
              </a:bodyPr>
              <a:lstStyle/>
              <a:p>
                <a:pPr>
                  <a:defRPr sz="1000" b="0" i="0" u="none" strike="noStrike" baseline="0">
                    <a:solidFill>
                      <a:srgbClr val="000000"/>
                    </a:solidFill>
                    <a:latin typeface="Arial"/>
                    <a:ea typeface="Arial"/>
                    <a:cs typeface="Aria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Elem!$A$22:$A$27</c:f>
              <c:strCache>
                <c:ptCount val="6"/>
                <c:pt idx="0">
                  <c:v>2017-18</c:v>
                </c:pt>
                <c:pt idx="1">
                  <c:v>2018-19</c:v>
                </c:pt>
                <c:pt idx="2">
                  <c:v>2019-20</c:v>
                </c:pt>
                <c:pt idx="3">
                  <c:v>2020-21</c:v>
                </c:pt>
                <c:pt idx="4">
                  <c:v>2021-22</c:v>
                </c:pt>
                <c:pt idx="5">
                  <c:v>2022-23</c:v>
                </c:pt>
              </c:strCache>
            </c:strRef>
          </c:cat>
          <c:val>
            <c:numRef>
              <c:f>Elem!$E$22:$E$27</c:f>
              <c:numCache>
                <c:formatCode>_(* #,##0.00_);_(* \(#,##0.00\);_(* "-"??_);_(@_)</c:formatCode>
                <c:ptCount val="6"/>
                <c:pt idx="0">
                  <c:v>4040</c:v>
                </c:pt>
                <c:pt idx="1">
                  <c:v>4133</c:v>
                </c:pt>
                <c:pt idx="2">
                  <c:v>4384</c:v>
                </c:pt>
                <c:pt idx="3">
                  <c:v>4458</c:v>
                </c:pt>
                <c:pt idx="4">
                  <c:v>4467</c:v>
                </c:pt>
                <c:pt idx="5">
                  <c:v>4399</c:v>
                </c:pt>
              </c:numCache>
            </c:numRef>
          </c:val>
          <c:smooth val="0"/>
          <c:extLst>
            <c:ext xmlns:c16="http://schemas.microsoft.com/office/drawing/2014/chart" uri="{C3380CC4-5D6E-409C-BE32-E72D297353CC}">
              <c16:uniqueId val="{00000000-BBAB-49D3-AD14-D48BC235CAAE}"/>
            </c:ext>
          </c:extLst>
        </c:ser>
        <c:dLbls>
          <c:showLegendKey val="0"/>
          <c:showVal val="0"/>
          <c:showCatName val="0"/>
          <c:showSerName val="0"/>
          <c:showPercent val="0"/>
          <c:showBubbleSize val="0"/>
        </c:dLbls>
        <c:marker val="1"/>
        <c:smooth val="0"/>
        <c:axId val="1546426624"/>
        <c:axId val="1"/>
      </c:lineChart>
      <c:catAx>
        <c:axId val="1546426624"/>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CA"/>
                  <a:t>YEAR</a:t>
                </a:r>
              </a:p>
            </c:rich>
          </c:tx>
          <c:layout>
            <c:manualLayout>
              <c:xMode val="edge"/>
              <c:yMode val="edge"/>
              <c:x val="0.52062428918425918"/>
              <c:y val="0.9443535752769964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
        <c:crossesAt val="0"/>
        <c:auto val="1"/>
        <c:lblAlgn val="ctr"/>
        <c:lblOffset val="100"/>
        <c:tickLblSkip val="1"/>
        <c:tickMarkSkip val="1"/>
        <c:noMultiLvlLbl val="0"/>
      </c:catAx>
      <c:valAx>
        <c:axId val="1"/>
        <c:scaling>
          <c:orientation val="minMax"/>
          <c:max val="5000"/>
          <c:min val="3000"/>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CA"/>
                  <a:t>ADE</a:t>
                </a:r>
              </a:p>
            </c:rich>
          </c:tx>
          <c:layout>
            <c:manualLayout>
              <c:xMode val="edge"/>
              <c:yMode val="edge"/>
              <c:x val="1.2262989951645566E-2"/>
              <c:y val="0.49918166265349301"/>
            </c:manualLayout>
          </c:layout>
          <c:overlay val="0"/>
          <c:spPr>
            <a:noFill/>
            <a:ln w="25400">
              <a:noFill/>
            </a:ln>
          </c:spPr>
        </c:title>
        <c:numFmt formatCode="_(* #,##0_);_(* \(#,##0\);_(* &quot;-&quot;_);_(@_)"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546426624"/>
        <c:crosses val="autoZero"/>
        <c:crossBetween val="between"/>
      </c:valAx>
      <c:spPr>
        <a:solidFill>
          <a:srgbClr val="FFFFFF"/>
        </a:solidFill>
        <a:ln w="12700">
          <a:solidFill>
            <a:srgbClr val="808080"/>
          </a:solidFill>
          <a:prstDash val="solid"/>
        </a:ln>
      </c:spPr>
    </c:plotArea>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CA" sz="1000" b="1"/>
              <a:t>Secondary Enrolment
Average Daily Enrolment (ADE</a:t>
            </a:r>
            <a:r>
              <a:rPr lang="en-CA"/>
              <a:t>)</a:t>
            </a:r>
          </a:p>
        </c:rich>
      </c:tx>
      <c:layout>
        <c:manualLayout>
          <c:xMode val="edge"/>
          <c:yMode val="edge"/>
          <c:x val="0.36454850356383173"/>
          <c:y val="1.9639942110894672E-2"/>
        </c:manualLayout>
      </c:layout>
      <c:overlay val="0"/>
      <c:spPr>
        <a:noFill/>
        <a:ln w="25400">
          <a:noFill/>
        </a:ln>
      </c:spPr>
    </c:title>
    <c:autoTitleDeleted val="0"/>
    <c:plotArea>
      <c:layout>
        <c:manualLayout>
          <c:layoutTarget val="inner"/>
          <c:xMode val="edge"/>
          <c:yMode val="edge"/>
          <c:x val="0.10476407115777195"/>
          <c:y val="0.17726931192424475"/>
          <c:w val="0.8929765886287625"/>
          <c:h val="0.73813420621931258"/>
        </c:manualLayout>
      </c:layout>
      <c:lineChart>
        <c:grouping val="standard"/>
        <c:varyColors val="0"/>
        <c:ser>
          <c:idx val="3"/>
          <c:order val="0"/>
          <c:spPr>
            <a:ln w="25400">
              <a:solidFill>
                <a:srgbClr val="000080"/>
              </a:solidFill>
              <a:prstDash val="solid"/>
            </a:ln>
          </c:spPr>
          <c:marker>
            <c:symbol val="diamond"/>
            <c:size val="7"/>
            <c:spPr>
              <a:solidFill>
                <a:srgbClr val="000080"/>
              </a:solidFill>
              <a:ln>
                <a:solidFill>
                  <a:srgbClr val="000080"/>
                </a:solidFill>
                <a:prstDash val="solid"/>
              </a:ln>
            </c:spPr>
          </c:marker>
          <c:dLbls>
            <c:dLbl>
              <c:idx val="7"/>
              <c:numFmt formatCode="_(* #,##0_);_(* \(#,##0\);_(* &quot;-&quot;_);_(@_)" sourceLinked="0"/>
              <c:spPr>
                <a:noFill/>
                <a:ln w="25400">
                  <a:noFill/>
                </a:ln>
              </c:spPr>
              <c:txPr>
                <a:bodyPr/>
                <a:lstStyle/>
                <a:p>
                  <a:pPr>
                    <a:defRPr sz="1000" b="0" i="0" u="none" strike="noStrike" baseline="0">
                      <a:solidFill>
                        <a:srgbClr val="000000"/>
                      </a:solidFill>
                      <a:latin typeface="Arial"/>
                      <a:ea typeface="Arial"/>
                      <a:cs typeface="Arial"/>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0-967F-41AD-8597-9CE1876022BD}"/>
                </c:ext>
              </c:extLst>
            </c:dLbl>
            <c:dLbl>
              <c:idx val="8"/>
              <c:numFmt formatCode="_(* #,##0_);_(* \(#,##0\);_(* &quot;-&quot;_);_(@_)" sourceLinked="0"/>
              <c:spPr>
                <a:noFill/>
                <a:ln w="25400">
                  <a:noFill/>
                </a:ln>
              </c:spPr>
              <c:txPr>
                <a:bodyPr/>
                <a:lstStyle/>
                <a:p>
                  <a:pPr>
                    <a:defRPr sz="1000" b="0" i="0" u="none" strike="noStrike" baseline="0">
                      <a:solidFill>
                        <a:srgbClr val="000000"/>
                      </a:solidFill>
                      <a:latin typeface="Arial"/>
                      <a:ea typeface="Arial"/>
                      <a:cs typeface="Arial"/>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1-967F-41AD-8597-9CE1876022BD}"/>
                </c:ext>
              </c:extLst>
            </c:dLbl>
            <c:numFmt formatCode="_(* #,##0_);_(* \(#,##0\);_(* &quot;-&quot;_);_(@_)" sourceLinked="0"/>
            <c:spPr>
              <a:noFill/>
              <a:ln w="25400">
                <a:noFill/>
              </a:ln>
            </c:spPr>
            <c:txPr>
              <a:bodyPr wrap="square" lIns="38100" tIns="19050" rIns="38100" bIns="19050" anchor="ctr">
                <a:spAutoFit/>
              </a:bodyPr>
              <a:lstStyle/>
              <a:p>
                <a:pPr>
                  <a:defRPr sz="1000" b="0" i="0" u="none" strike="noStrike" baseline="0">
                    <a:solidFill>
                      <a:srgbClr val="000000"/>
                    </a:solidFill>
                    <a:latin typeface="Arial"/>
                    <a:ea typeface="Arial"/>
                    <a:cs typeface="Aria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Sec!$A$22:$A$27</c:f>
              <c:strCache>
                <c:ptCount val="6"/>
                <c:pt idx="0">
                  <c:v>2017-18</c:v>
                </c:pt>
                <c:pt idx="1">
                  <c:v>2018-19</c:v>
                </c:pt>
                <c:pt idx="2">
                  <c:v>2019-20</c:v>
                </c:pt>
                <c:pt idx="3">
                  <c:v>2020-21</c:v>
                </c:pt>
                <c:pt idx="4">
                  <c:v>2021-22</c:v>
                </c:pt>
                <c:pt idx="5">
                  <c:v>2022-23</c:v>
                </c:pt>
              </c:strCache>
            </c:strRef>
          </c:cat>
          <c:val>
            <c:numRef>
              <c:f>Sec!$C$22:$C$27</c:f>
              <c:numCache>
                <c:formatCode>_(* #,##0.00_);_(* \(#,##0.00\);_(* "-"??_);_(@_)</c:formatCode>
                <c:ptCount val="6"/>
                <c:pt idx="0">
                  <c:v>1852</c:v>
                </c:pt>
                <c:pt idx="1">
                  <c:v>1749</c:v>
                </c:pt>
                <c:pt idx="2">
                  <c:v>1745</c:v>
                </c:pt>
                <c:pt idx="3">
                  <c:v>1793</c:v>
                </c:pt>
                <c:pt idx="4">
                  <c:v>1925</c:v>
                </c:pt>
                <c:pt idx="5">
                  <c:v>1976</c:v>
                </c:pt>
              </c:numCache>
            </c:numRef>
          </c:val>
          <c:smooth val="1"/>
          <c:extLst>
            <c:ext xmlns:c16="http://schemas.microsoft.com/office/drawing/2014/chart" uri="{C3380CC4-5D6E-409C-BE32-E72D297353CC}">
              <c16:uniqueId val="{00000002-967F-41AD-8597-9CE1876022BD}"/>
            </c:ext>
          </c:extLst>
        </c:ser>
        <c:dLbls>
          <c:showLegendKey val="0"/>
          <c:showVal val="0"/>
          <c:showCatName val="0"/>
          <c:showSerName val="0"/>
          <c:showPercent val="0"/>
          <c:showBubbleSize val="0"/>
        </c:dLbls>
        <c:marker val="1"/>
        <c:smooth val="0"/>
        <c:axId val="1546422624"/>
        <c:axId val="1"/>
      </c:lineChart>
      <c:catAx>
        <c:axId val="1546422624"/>
        <c:scaling>
          <c:orientation val="minMax"/>
        </c:scaling>
        <c:delete val="0"/>
        <c:axPos val="b"/>
        <c:title>
          <c:tx>
            <c:rich>
              <a:bodyPr/>
              <a:lstStyle/>
              <a:p>
                <a:pPr>
                  <a:defRPr sz="1000" b="0" i="0" u="none" strike="noStrike" baseline="0">
                    <a:solidFill>
                      <a:srgbClr val="000000"/>
                    </a:solidFill>
                    <a:latin typeface="Arial"/>
                    <a:ea typeface="Arial"/>
                    <a:cs typeface="Arial"/>
                  </a:defRPr>
                </a:pPr>
                <a:r>
                  <a:rPr lang="en-CA" sz="1000" b="0" i="0" baseline="0"/>
                  <a:t>YEAR</a:t>
                </a:r>
              </a:p>
            </c:rich>
          </c:tx>
          <c:layout>
            <c:manualLayout>
              <c:xMode val="edge"/>
              <c:yMode val="edge"/>
              <c:x val="0.523587284922718"/>
              <c:y val="0.9639632545931758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rtl="0">
              <a:defRPr sz="10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3000"/>
          <c:min val="1000"/>
        </c:scaling>
        <c:delete val="0"/>
        <c:axPos val="l"/>
        <c:majorGridlines>
          <c:spPr>
            <a:ln w="3175">
              <a:solidFill>
                <a:srgbClr val="000000"/>
              </a:solidFill>
              <a:prstDash val="solid"/>
            </a:ln>
          </c:spPr>
        </c:majorGridlines>
        <c:title>
          <c:tx>
            <c:rich>
              <a:bodyPr/>
              <a:lstStyle/>
              <a:p>
                <a:pPr>
                  <a:defRPr sz="1000" b="0" i="0" u="none" strike="noStrike" baseline="0">
                    <a:solidFill>
                      <a:srgbClr val="000000"/>
                    </a:solidFill>
                    <a:latin typeface="Arial"/>
                    <a:ea typeface="Arial"/>
                    <a:cs typeface="Arial"/>
                  </a:defRPr>
                </a:pPr>
                <a:r>
                  <a:rPr lang="en-CA" sz="1000" b="0" i="0" baseline="0"/>
                  <a:t>ADE</a:t>
                </a:r>
              </a:p>
            </c:rich>
          </c:tx>
          <c:layout>
            <c:manualLayout>
              <c:xMode val="edge"/>
              <c:yMode val="edge"/>
              <c:x val="1.5793458509993938E-3"/>
              <c:y val="0.49918167141911662"/>
            </c:manualLayout>
          </c:layout>
          <c:overlay val="0"/>
          <c:spPr>
            <a:noFill/>
            <a:ln w="25400">
              <a:noFill/>
            </a:ln>
          </c:spPr>
        </c:title>
        <c:numFmt formatCode="_(* #,##0_);_(* \(#,##0\);_(* &quot;-&quot;_);_(@_)"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546422624"/>
        <c:crosses val="autoZero"/>
        <c:crossBetween val="between"/>
        <c:majorUnit val="500"/>
      </c:valAx>
      <c:spPr>
        <a:noFill/>
        <a:ln w="3175">
          <a:solidFill>
            <a:srgbClr val="000000"/>
          </a:solidFill>
          <a:prstDash val="solid"/>
        </a:ln>
      </c:spPr>
    </c:plotArea>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2022-2023 Estimates</a:t>
            </a:r>
            <a:r>
              <a:rPr lang="en-CA" baseline="0"/>
              <a:t> Revenues</a:t>
            </a:r>
            <a:endParaRPr lang="en-CA"/>
          </a:p>
        </c:rich>
      </c:tx>
      <c:layout>
        <c:manualLayout>
          <c:xMode val="edge"/>
          <c:yMode val="edge"/>
          <c:x val="0.34410998635789736"/>
          <c:y val="1.422222222222222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000000000000001E-2"/>
          <c:y val="7.9885709878551675E-2"/>
          <c:w val="0.97222222222222221"/>
          <c:h val="0.72196915468211098"/>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3EC-4334-AD11-90B5284017A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3EC-4334-AD11-90B5284017A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3EC-4334-AD11-90B5284017A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3EC-4334-AD11-90B5284017A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3EC-4334-AD11-90B5284017AB}"/>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63EC-4334-AD11-90B5284017AB}"/>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63EC-4334-AD11-90B5284017AB}"/>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63EC-4334-AD11-90B5284017AB}"/>
              </c:ext>
            </c:extLst>
          </c:dPt>
          <c:dLbls>
            <c:dLbl>
              <c:idx val="1"/>
              <c:layout>
                <c:manualLayout>
                  <c:x val="-0.13405092269866067"/>
                  <c:y val="0.102819387576552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EC-4334-AD11-90B5284017AB}"/>
                </c:ext>
              </c:extLst>
            </c:dLbl>
            <c:dLbl>
              <c:idx val="2"/>
              <c:layout>
                <c:manualLayout>
                  <c:x val="-0.15170161451092345"/>
                  <c:y val="4.9165774278215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3EC-4334-AD11-90B5284017AB}"/>
                </c:ext>
              </c:extLst>
            </c:dLbl>
            <c:dLbl>
              <c:idx val="3"/>
              <c:layout>
                <c:manualLayout>
                  <c:x val="-0.17083687849929052"/>
                  <c:y val="-2.9480314960629919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3EC-4334-AD11-90B5284017AB}"/>
                </c:ext>
              </c:extLst>
            </c:dLbl>
            <c:dLbl>
              <c:idx val="4"/>
              <c:layout>
                <c:manualLayout>
                  <c:x val="-0.14667361367181037"/>
                  <c:y val="-1.25676290463692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3EC-4334-AD11-90B5284017AB}"/>
                </c:ext>
              </c:extLst>
            </c:dLbl>
            <c:dLbl>
              <c:idx val="5"/>
              <c:delete val="1"/>
              <c:extLst>
                <c:ext xmlns:c15="http://schemas.microsoft.com/office/drawing/2012/chart" uri="{CE6537A1-D6FC-4f65-9D91-7224C49458BB}"/>
                <c:ext xmlns:c16="http://schemas.microsoft.com/office/drawing/2014/chart" uri="{C3380CC4-5D6E-409C-BE32-E72D297353CC}">
                  <c16:uniqueId val="{0000000B-63EC-4334-AD11-90B5284017AB}"/>
                </c:ext>
              </c:extLst>
            </c:dLbl>
            <c:dLbl>
              <c:idx val="6"/>
              <c:layout>
                <c:manualLayout>
                  <c:x val="-0.10861807585113303"/>
                  <c:y val="-2.74743657042869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3EC-4334-AD11-90B5284017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Summary!$A$8:$A$15</c:f>
              <c:strCache>
                <c:ptCount val="8"/>
                <c:pt idx="0">
                  <c:v>Provincial Grants</c:v>
                </c:pt>
                <c:pt idx="1">
                  <c:v>Partnership and Priority Funding</c:v>
                </c:pt>
                <c:pt idx="2">
                  <c:v>Grants from Other Ministries</c:v>
                </c:pt>
                <c:pt idx="3">
                  <c:v>School Generated Funds</c:v>
                </c:pt>
                <c:pt idx="4">
                  <c:v>Federal Grants</c:v>
                </c:pt>
                <c:pt idx="5">
                  <c:v>Investment Income</c:v>
                </c:pt>
                <c:pt idx="6">
                  <c:v>Revenues from Other Sources</c:v>
                </c:pt>
                <c:pt idx="7">
                  <c:v>Amortization of Deferred  Capital Contributions</c:v>
                </c:pt>
              </c:strCache>
            </c:strRef>
          </c:cat>
          <c:val>
            <c:numRef>
              <c:f>Summary!$D$8:$D$15</c:f>
              <c:numCache>
                <c:formatCode>0%</c:formatCode>
                <c:ptCount val="8"/>
                <c:pt idx="0">
                  <c:v>0.89132058275926518</c:v>
                </c:pt>
                <c:pt idx="1">
                  <c:v>1.2117879828150593E-2</c:v>
                </c:pt>
                <c:pt idx="2">
                  <c:v>5.6435965271231401E-3</c:v>
                </c:pt>
                <c:pt idx="3">
                  <c:v>1.442301748603194E-2</c:v>
                </c:pt>
                <c:pt idx="4">
                  <c:v>5.7600069090873339E-3</c:v>
                </c:pt>
                <c:pt idx="5">
                  <c:v>5.5814471135141592E-4</c:v>
                </c:pt>
                <c:pt idx="6">
                  <c:v>1.0018697568757918E-2</c:v>
                </c:pt>
                <c:pt idx="7">
                  <c:v>6.0158074210232441E-2</c:v>
                </c:pt>
              </c:numCache>
            </c:numRef>
          </c:val>
          <c:extLst>
            <c:ext xmlns:c16="http://schemas.microsoft.com/office/drawing/2014/chart" uri="{C3380CC4-5D6E-409C-BE32-E72D297353CC}">
              <c16:uniqueId val="{00000010-63EC-4334-AD11-90B5284017AB}"/>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12-63EC-4334-AD11-90B5284017AB}"/>
              </c:ext>
            </c:extLst>
          </c:dPt>
          <c:cat>
            <c:strRef>
              <c:f>Summary!$A$8:$A$15</c:f>
              <c:strCache>
                <c:ptCount val="8"/>
                <c:pt idx="0">
                  <c:v>Provincial Grants</c:v>
                </c:pt>
                <c:pt idx="1">
                  <c:v>Partnership and Priority Funding</c:v>
                </c:pt>
                <c:pt idx="2">
                  <c:v>Grants from Other Ministries</c:v>
                </c:pt>
                <c:pt idx="3">
                  <c:v>School Generated Funds</c:v>
                </c:pt>
                <c:pt idx="4">
                  <c:v>Federal Grants</c:v>
                </c:pt>
                <c:pt idx="5">
                  <c:v>Investment Income</c:v>
                </c:pt>
                <c:pt idx="6">
                  <c:v>Revenues from Other Sources</c:v>
                </c:pt>
                <c:pt idx="7">
                  <c:v>Amortization of Deferred  Capital Contributions</c:v>
                </c:pt>
              </c:strCache>
            </c:strRef>
          </c:cat>
          <c:val>
            <c:numRef>
              <c:f>Summary!#REF!</c:f>
              <c:numCache>
                <c:formatCode>General</c:formatCode>
                <c:ptCount val="1"/>
                <c:pt idx="0">
                  <c:v>1</c:v>
                </c:pt>
              </c:numCache>
            </c:numRef>
          </c:val>
          <c:extLst>
            <c:ext xmlns:c16="http://schemas.microsoft.com/office/drawing/2014/chart" uri="{C3380CC4-5D6E-409C-BE32-E72D297353CC}">
              <c16:uniqueId val="{00000013-63EC-4334-AD11-90B5284017AB}"/>
            </c:ext>
          </c:extLst>
        </c:ser>
        <c:ser>
          <c:idx val="2"/>
          <c:order val="2"/>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15-63EC-4334-AD11-90B5284017A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7-63EC-4334-AD11-90B5284017A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9-63EC-4334-AD11-90B5284017A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B-63EC-4334-AD11-90B5284017A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D-63EC-4334-AD11-90B5284017AB}"/>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F-63EC-4334-AD11-90B5284017AB}"/>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1-63EC-4334-AD11-90B5284017AB}"/>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3-63EC-4334-AD11-90B5284017AB}"/>
              </c:ext>
            </c:extLst>
          </c:dPt>
          <c:cat>
            <c:strRef>
              <c:f>Summary!$A$8:$A$15</c:f>
              <c:strCache>
                <c:ptCount val="8"/>
                <c:pt idx="0">
                  <c:v>Provincial Grants</c:v>
                </c:pt>
                <c:pt idx="1">
                  <c:v>Partnership and Priority Funding</c:v>
                </c:pt>
                <c:pt idx="2">
                  <c:v>Grants from Other Ministries</c:v>
                </c:pt>
                <c:pt idx="3">
                  <c:v>School Generated Funds</c:v>
                </c:pt>
                <c:pt idx="4">
                  <c:v>Federal Grants</c:v>
                </c:pt>
                <c:pt idx="5">
                  <c:v>Investment Income</c:v>
                </c:pt>
                <c:pt idx="6">
                  <c:v>Revenues from Other Sources</c:v>
                </c:pt>
                <c:pt idx="7">
                  <c:v>Amortization of Deferred  Capital Contributions</c:v>
                </c:pt>
              </c:strCache>
            </c:strRef>
          </c:cat>
          <c:val>
            <c:numRef>
              <c:f>Summary!$B$8:$B$15</c:f>
              <c:numCache>
                <c:formatCode>#,##0_);\(#,##0\)</c:formatCode>
                <c:ptCount val="8"/>
                <c:pt idx="0">
                  <c:v>92881969</c:v>
                </c:pt>
                <c:pt idx="1">
                  <c:v>4673167</c:v>
                </c:pt>
                <c:pt idx="2">
                  <c:v>615732</c:v>
                </c:pt>
                <c:pt idx="3">
                  <c:v>771651</c:v>
                </c:pt>
                <c:pt idx="4">
                  <c:v>534000</c:v>
                </c:pt>
                <c:pt idx="5">
                  <c:v>60000</c:v>
                </c:pt>
                <c:pt idx="6">
                  <c:v>1298816</c:v>
                </c:pt>
                <c:pt idx="7">
                  <c:v>6466933</c:v>
                </c:pt>
              </c:numCache>
            </c:numRef>
          </c:val>
          <c:extLst>
            <c:ext xmlns:c16="http://schemas.microsoft.com/office/drawing/2014/chart" uri="{C3380CC4-5D6E-409C-BE32-E72D297353CC}">
              <c16:uniqueId val="{00000024-63EC-4334-AD11-90B5284017AB}"/>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3.1399168853893267E-2"/>
          <c:y val="0.78255618539083105"/>
          <c:w val="0.96497922134733161"/>
          <c:h val="0.20273352808785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2022-2023</a:t>
            </a:r>
            <a:r>
              <a:rPr lang="en-CA" baseline="0"/>
              <a:t> Estimates Expenditures</a:t>
            </a:r>
            <a:endParaRPr lang="en-C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1666666666666664E-2"/>
          <c:y val="8.8803126702451218E-2"/>
          <c:w val="0.94166666666666665"/>
          <c:h val="0.7562403992560055"/>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DCC-4864-95BD-6BC3B686C69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DCC-4864-95BD-6BC3B686C69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DCC-4864-95BD-6BC3B686C69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DCC-4864-95BD-6BC3B686C69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DCC-4864-95BD-6BC3B686C691}"/>
              </c:ext>
            </c:extLst>
          </c:dPt>
          <c:dLbls>
            <c:dLbl>
              <c:idx val="4"/>
              <c:layout>
                <c:manualLayout>
                  <c:x val="7.9508210512147515E-3"/>
                  <c:y val="8.46097771347486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DCC-4864-95BD-6BC3B686C6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Summary!$A$18:$A$22</c:f>
              <c:strCache>
                <c:ptCount val="5"/>
                <c:pt idx="0">
                  <c:v>Admin and Governance</c:v>
                </c:pt>
                <c:pt idx="1">
                  <c:v>Transportation</c:v>
                </c:pt>
                <c:pt idx="2">
                  <c:v>Instructional</c:v>
                </c:pt>
                <c:pt idx="3">
                  <c:v>Pupil Accommodation</c:v>
                </c:pt>
                <c:pt idx="4">
                  <c:v>Other</c:v>
                </c:pt>
              </c:strCache>
            </c:strRef>
          </c:cat>
          <c:val>
            <c:numRef>
              <c:f>Summary!$D$18:$D$22</c:f>
              <c:numCache>
                <c:formatCode>0%</c:formatCode>
                <c:ptCount val="5"/>
                <c:pt idx="0">
                  <c:v>4.935548541644056E-2</c:v>
                </c:pt>
                <c:pt idx="1">
                  <c:v>6.2108212509228454E-2</c:v>
                </c:pt>
                <c:pt idx="2">
                  <c:v>0.72584921778222933</c:v>
                </c:pt>
                <c:pt idx="3">
                  <c:v>0.14164583030415429</c:v>
                </c:pt>
                <c:pt idx="4">
                  <c:v>2.1041253987947414E-2</c:v>
                </c:pt>
              </c:numCache>
            </c:numRef>
          </c:val>
          <c:extLst>
            <c:ext xmlns:c16="http://schemas.microsoft.com/office/drawing/2014/chart" uri="{C3380CC4-5D6E-409C-BE32-E72D297353CC}">
              <c16:uniqueId val="{0000000A-BDCC-4864-95BD-6BC3B686C691}"/>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C-BDCC-4864-95BD-6BC3B686C691}"/>
              </c:ext>
            </c:extLst>
          </c:dPt>
          <c:cat>
            <c:strRef>
              <c:f>Summary!$A$18:$A$22</c:f>
              <c:strCache>
                <c:ptCount val="5"/>
                <c:pt idx="0">
                  <c:v>Admin and Governance</c:v>
                </c:pt>
                <c:pt idx="1">
                  <c:v>Transportation</c:v>
                </c:pt>
                <c:pt idx="2">
                  <c:v>Instructional</c:v>
                </c:pt>
                <c:pt idx="3">
                  <c:v>Pupil Accommodation</c:v>
                </c:pt>
                <c:pt idx="4">
                  <c:v>Other</c:v>
                </c:pt>
              </c:strCache>
            </c:strRef>
          </c:cat>
          <c:val>
            <c:numRef>
              <c:f>Summary!#REF!</c:f>
              <c:numCache>
                <c:formatCode>General</c:formatCode>
                <c:ptCount val="1"/>
                <c:pt idx="0">
                  <c:v>1</c:v>
                </c:pt>
              </c:numCache>
            </c:numRef>
          </c:val>
          <c:extLst>
            <c:ext xmlns:c16="http://schemas.microsoft.com/office/drawing/2014/chart" uri="{C3380CC4-5D6E-409C-BE32-E72D297353CC}">
              <c16:uniqueId val="{0000000D-BDCC-4864-95BD-6BC3B686C691}"/>
            </c:ext>
          </c:extLst>
        </c:ser>
        <c:ser>
          <c:idx val="2"/>
          <c:order val="2"/>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F-BDCC-4864-95BD-6BC3B686C69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1-BDCC-4864-95BD-6BC3B686C69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3-BDCC-4864-95BD-6BC3B686C69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5-BDCC-4864-95BD-6BC3B686C69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7-BDCC-4864-95BD-6BC3B686C69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Summary!$A$18:$A$22</c:f>
              <c:strCache>
                <c:ptCount val="5"/>
                <c:pt idx="0">
                  <c:v>Admin and Governance</c:v>
                </c:pt>
                <c:pt idx="1">
                  <c:v>Transportation</c:v>
                </c:pt>
                <c:pt idx="2">
                  <c:v>Instructional</c:v>
                </c:pt>
                <c:pt idx="3">
                  <c:v>Pupil Accommodation</c:v>
                </c:pt>
                <c:pt idx="4">
                  <c:v>Other</c:v>
                </c:pt>
              </c:strCache>
            </c:strRef>
          </c:cat>
          <c:val>
            <c:numRef>
              <c:f>Summary!$B$18:$B$22</c:f>
              <c:numCache>
                <c:formatCode>#,##0_);\(#,##0\)</c:formatCode>
                <c:ptCount val="5"/>
                <c:pt idx="0">
                  <c:v>5337519</c:v>
                </c:pt>
                <c:pt idx="1">
                  <c:v>7203227</c:v>
                </c:pt>
                <c:pt idx="2">
                  <c:v>79447672</c:v>
                </c:pt>
                <c:pt idx="3">
                  <c:v>15183656</c:v>
                </c:pt>
                <c:pt idx="4">
                  <c:v>1032299</c:v>
                </c:pt>
              </c:numCache>
            </c:numRef>
          </c:val>
          <c:extLst>
            <c:ext xmlns:c16="http://schemas.microsoft.com/office/drawing/2014/chart" uri="{C3380CC4-5D6E-409C-BE32-E72D297353CC}">
              <c16:uniqueId val="{00000018-BDCC-4864-95BD-6BC3B686C691}"/>
            </c:ext>
          </c:extLst>
        </c:ser>
        <c:ser>
          <c:idx val="3"/>
          <c:order val="3"/>
          <c:tx>
            <c:strRef>
              <c:f>Summary!$A$18:$A$22</c:f>
              <c:strCache>
                <c:ptCount val="5"/>
                <c:pt idx="0">
                  <c:v>Admin and Governance</c:v>
                </c:pt>
                <c:pt idx="1">
                  <c:v>Transportation</c:v>
                </c:pt>
                <c:pt idx="2">
                  <c:v>Instructional</c:v>
                </c:pt>
                <c:pt idx="3">
                  <c:v>Pupil Accommodation</c:v>
                </c:pt>
                <c:pt idx="4">
                  <c:v>Other</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1A-BDCC-4864-95BD-6BC3B686C69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C-BDCC-4864-95BD-6BC3B686C69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E-BDCC-4864-95BD-6BC3B686C69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20-BDCC-4864-95BD-6BC3B686C69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22-BDCC-4864-95BD-6BC3B686C691}"/>
              </c:ext>
            </c:extLst>
          </c:dPt>
          <c:val>
            <c:numRef>
              <c:f>Summary!$D$18:$D$22</c:f>
              <c:numCache>
                <c:formatCode>0%</c:formatCode>
                <c:ptCount val="5"/>
                <c:pt idx="0">
                  <c:v>4.935548541644056E-2</c:v>
                </c:pt>
                <c:pt idx="1">
                  <c:v>6.2108212509228454E-2</c:v>
                </c:pt>
                <c:pt idx="2">
                  <c:v>0.72584921778222933</c:v>
                </c:pt>
                <c:pt idx="3">
                  <c:v>0.14164583030415429</c:v>
                </c:pt>
                <c:pt idx="4">
                  <c:v>2.1041253987947414E-2</c:v>
                </c:pt>
              </c:numCache>
            </c:numRef>
          </c:val>
          <c:extLst>
            <c:ext xmlns:c16="http://schemas.microsoft.com/office/drawing/2014/chart" uri="{C3380CC4-5D6E-409C-BE32-E72D297353CC}">
              <c16:uniqueId val="{00000023-BDCC-4864-95BD-6BC3B686C691}"/>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7.7159051239284751E-2"/>
          <c:y val="0.80876127630575734"/>
          <c:w val="0.84822673027940476"/>
          <c:h val="0.176957089875333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Expenditure</a:t>
            </a:r>
            <a:r>
              <a:rPr lang="en-CA" baseline="0"/>
              <a:t> 5-Year Trend</a:t>
            </a:r>
            <a:endParaRPr lang="en-C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Sheet1!$A$6</c:f>
              <c:strCache>
                <c:ptCount val="1"/>
                <c:pt idx="0">
                  <c:v>Instructional</c:v>
                </c:pt>
              </c:strCache>
            </c:strRef>
          </c:tx>
          <c:spPr>
            <a:solidFill>
              <a:schemeClr val="accent1"/>
            </a:solidFill>
            <a:ln>
              <a:noFill/>
            </a:ln>
            <a:effectLst/>
          </c:spPr>
          <c:invertIfNegative val="0"/>
          <c:cat>
            <c:strRef>
              <c:f>Sheet1!$D$5:$J$5</c:f>
              <c:strCache>
                <c:ptCount val="6"/>
                <c:pt idx="0">
                  <c:v>2017-18</c:v>
                </c:pt>
                <c:pt idx="1">
                  <c:v>2018-19</c:v>
                </c:pt>
                <c:pt idx="2">
                  <c:v>2019-20</c:v>
                </c:pt>
                <c:pt idx="3">
                  <c:v>2020-21</c:v>
                </c:pt>
                <c:pt idx="4">
                  <c:v>2021-22 Revised</c:v>
                </c:pt>
                <c:pt idx="5">
                  <c:v>2022-23 Estimates</c:v>
                </c:pt>
              </c:strCache>
            </c:strRef>
          </c:cat>
          <c:val>
            <c:numRef>
              <c:f>Sheet1!$D$6:$J$6</c:f>
              <c:numCache>
                <c:formatCode>#,##0</c:formatCode>
                <c:ptCount val="6"/>
                <c:pt idx="0">
                  <c:v>65810238</c:v>
                </c:pt>
                <c:pt idx="1">
                  <c:v>68616963</c:v>
                </c:pt>
                <c:pt idx="2">
                  <c:v>68300338</c:v>
                </c:pt>
                <c:pt idx="3">
                  <c:v>71516392</c:v>
                </c:pt>
                <c:pt idx="4">
                  <c:v>79447672</c:v>
                </c:pt>
                <c:pt idx="5">
                  <c:v>78550143</c:v>
                </c:pt>
              </c:numCache>
            </c:numRef>
          </c:val>
          <c:extLst>
            <c:ext xmlns:c16="http://schemas.microsoft.com/office/drawing/2014/chart" uri="{C3380CC4-5D6E-409C-BE32-E72D297353CC}">
              <c16:uniqueId val="{00000000-C1D0-42E5-A2EB-9CA3066F43F9}"/>
            </c:ext>
          </c:extLst>
        </c:ser>
        <c:ser>
          <c:idx val="1"/>
          <c:order val="1"/>
          <c:tx>
            <c:strRef>
              <c:f>Sheet1!$A$7</c:f>
              <c:strCache>
                <c:ptCount val="1"/>
                <c:pt idx="0">
                  <c:v>Administration</c:v>
                </c:pt>
              </c:strCache>
            </c:strRef>
          </c:tx>
          <c:spPr>
            <a:solidFill>
              <a:schemeClr val="accent2"/>
            </a:solidFill>
            <a:ln>
              <a:noFill/>
            </a:ln>
            <a:effectLst/>
          </c:spPr>
          <c:invertIfNegative val="0"/>
          <c:cat>
            <c:strRef>
              <c:f>Sheet1!$D$5:$J$5</c:f>
              <c:strCache>
                <c:ptCount val="6"/>
                <c:pt idx="0">
                  <c:v>2017-18</c:v>
                </c:pt>
                <c:pt idx="1">
                  <c:v>2018-19</c:v>
                </c:pt>
                <c:pt idx="2">
                  <c:v>2019-20</c:v>
                </c:pt>
                <c:pt idx="3">
                  <c:v>2020-21</c:v>
                </c:pt>
                <c:pt idx="4">
                  <c:v>2021-22 Revised</c:v>
                </c:pt>
                <c:pt idx="5">
                  <c:v>2022-23 Estimates</c:v>
                </c:pt>
              </c:strCache>
            </c:strRef>
          </c:cat>
          <c:val>
            <c:numRef>
              <c:f>Sheet1!$D$7:$J$7</c:f>
              <c:numCache>
                <c:formatCode>#,##0</c:formatCode>
                <c:ptCount val="6"/>
                <c:pt idx="0">
                  <c:v>4437097</c:v>
                </c:pt>
                <c:pt idx="1">
                  <c:v>4603318</c:v>
                </c:pt>
                <c:pt idx="2">
                  <c:v>4851887</c:v>
                </c:pt>
                <c:pt idx="3">
                  <c:v>4374642</c:v>
                </c:pt>
                <c:pt idx="4" formatCode="#,##0_);\(#,##0\)">
                  <c:v>5337519</c:v>
                </c:pt>
                <c:pt idx="5">
                  <c:v>5341165</c:v>
                </c:pt>
              </c:numCache>
            </c:numRef>
          </c:val>
          <c:extLst>
            <c:ext xmlns:c16="http://schemas.microsoft.com/office/drawing/2014/chart" uri="{C3380CC4-5D6E-409C-BE32-E72D297353CC}">
              <c16:uniqueId val="{00000001-C1D0-42E5-A2EB-9CA3066F43F9}"/>
            </c:ext>
          </c:extLst>
        </c:ser>
        <c:ser>
          <c:idx val="2"/>
          <c:order val="2"/>
          <c:tx>
            <c:strRef>
              <c:f>Sheet1!$A$8</c:f>
              <c:strCache>
                <c:ptCount val="1"/>
                <c:pt idx="0">
                  <c:v>Transportation</c:v>
                </c:pt>
              </c:strCache>
            </c:strRef>
          </c:tx>
          <c:spPr>
            <a:solidFill>
              <a:schemeClr val="accent3"/>
            </a:solidFill>
            <a:ln>
              <a:noFill/>
            </a:ln>
            <a:effectLst/>
          </c:spPr>
          <c:invertIfNegative val="0"/>
          <c:cat>
            <c:strRef>
              <c:f>Sheet1!$D$5:$J$5</c:f>
              <c:strCache>
                <c:ptCount val="6"/>
                <c:pt idx="0">
                  <c:v>2017-18</c:v>
                </c:pt>
                <c:pt idx="1">
                  <c:v>2018-19</c:v>
                </c:pt>
                <c:pt idx="2">
                  <c:v>2019-20</c:v>
                </c:pt>
                <c:pt idx="3">
                  <c:v>2020-21</c:v>
                </c:pt>
                <c:pt idx="4">
                  <c:v>2021-22 Revised</c:v>
                </c:pt>
                <c:pt idx="5">
                  <c:v>2022-23 Estimates</c:v>
                </c:pt>
              </c:strCache>
            </c:strRef>
          </c:cat>
          <c:val>
            <c:numRef>
              <c:f>Sheet1!$D$8:$J$8</c:f>
              <c:numCache>
                <c:formatCode>#,##0</c:formatCode>
                <c:ptCount val="6"/>
                <c:pt idx="0">
                  <c:v>5681433</c:v>
                </c:pt>
                <c:pt idx="1">
                  <c:v>5971688</c:v>
                </c:pt>
                <c:pt idx="2">
                  <c:v>6286107</c:v>
                </c:pt>
                <c:pt idx="3">
                  <c:v>5789058</c:v>
                </c:pt>
                <c:pt idx="4" formatCode="#,##0_);\(#,##0\)">
                  <c:v>7203227</c:v>
                </c:pt>
                <c:pt idx="5">
                  <c:v>6721243</c:v>
                </c:pt>
              </c:numCache>
            </c:numRef>
          </c:val>
          <c:extLst>
            <c:ext xmlns:c16="http://schemas.microsoft.com/office/drawing/2014/chart" uri="{C3380CC4-5D6E-409C-BE32-E72D297353CC}">
              <c16:uniqueId val="{00000002-C1D0-42E5-A2EB-9CA3066F43F9}"/>
            </c:ext>
          </c:extLst>
        </c:ser>
        <c:ser>
          <c:idx val="3"/>
          <c:order val="3"/>
          <c:tx>
            <c:strRef>
              <c:f>Sheet1!$A$9</c:f>
              <c:strCache>
                <c:ptCount val="1"/>
                <c:pt idx="0">
                  <c:v>Pupil Accomodation</c:v>
                </c:pt>
              </c:strCache>
            </c:strRef>
          </c:tx>
          <c:spPr>
            <a:solidFill>
              <a:schemeClr val="accent4"/>
            </a:solidFill>
            <a:ln>
              <a:noFill/>
            </a:ln>
            <a:effectLst/>
          </c:spPr>
          <c:invertIfNegative val="0"/>
          <c:cat>
            <c:strRef>
              <c:f>Sheet1!$D$5:$J$5</c:f>
              <c:strCache>
                <c:ptCount val="6"/>
                <c:pt idx="0">
                  <c:v>2017-18</c:v>
                </c:pt>
                <c:pt idx="1">
                  <c:v>2018-19</c:v>
                </c:pt>
                <c:pt idx="2">
                  <c:v>2019-20</c:v>
                </c:pt>
                <c:pt idx="3">
                  <c:v>2020-21</c:v>
                </c:pt>
                <c:pt idx="4">
                  <c:v>2021-22 Revised</c:v>
                </c:pt>
                <c:pt idx="5">
                  <c:v>2022-23 Estimates</c:v>
                </c:pt>
              </c:strCache>
            </c:strRef>
          </c:cat>
          <c:val>
            <c:numRef>
              <c:f>Sheet1!$D$9:$J$9</c:f>
              <c:numCache>
                <c:formatCode>#,##0</c:formatCode>
                <c:ptCount val="6"/>
                <c:pt idx="0">
                  <c:v>13049561</c:v>
                </c:pt>
                <c:pt idx="1">
                  <c:v>13579601</c:v>
                </c:pt>
                <c:pt idx="2">
                  <c:v>13716182</c:v>
                </c:pt>
                <c:pt idx="3">
                  <c:v>14878178</c:v>
                </c:pt>
                <c:pt idx="4" formatCode="#,##0_);\(#,##0\)">
                  <c:v>15183656</c:v>
                </c:pt>
                <c:pt idx="5">
                  <c:v>15328666</c:v>
                </c:pt>
              </c:numCache>
            </c:numRef>
          </c:val>
          <c:extLst>
            <c:ext xmlns:c16="http://schemas.microsoft.com/office/drawing/2014/chart" uri="{C3380CC4-5D6E-409C-BE32-E72D297353CC}">
              <c16:uniqueId val="{00000003-C1D0-42E5-A2EB-9CA3066F43F9}"/>
            </c:ext>
          </c:extLst>
        </c:ser>
        <c:ser>
          <c:idx val="4"/>
          <c:order val="4"/>
          <c:tx>
            <c:strRef>
              <c:f>Sheet1!$A$10</c:f>
              <c:strCache>
                <c:ptCount val="1"/>
                <c:pt idx="0">
                  <c:v>Other*</c:v>
                </c:pt>
              </c:strCache>
            </c:strRef>
          </c:tx>
          <c:spPr>
            <a:solidFill>
              <a:schemeClr val="accent5"/>
            </a:solidFill>
            <a:ln>
              <a:noFill/>
            </a:ln>
            <a:effectLst/>
          </c:spPr>
          <c:invertIfNegative val="0"/>
          <c:cat>
            <c:strRef>
              <c:f>Sheet1!$D$5:$J$5</c:f>
              <c:strCache>
                <c:ptCount val="6"/>
                <c:pt idx="0">
                  <c:v>2017-18</c:v>
                </c:pt>
                <c:pt idx="1">
                  <c:v>2018-19</c:v>
                </c:pt>
                <c:pt idx="2">
                  <c:v>2019-20</c:v>
                </c:pt>
                <c:pt idx="3">
                  <c:v>2020-21</c:v>
                </c:pt>
                <c:pt idx="4">
                  <c:v>2021-22 Revised</c:v>
                </c:pt>
                <c:pt idx="5">
                  <c:v>2022-23 Estimates</c:v>
                </c:pt>
              </c:strCache>
            </c:strRef>
          </c:cat>
          <c:val>
            <c:numRef>
              <c:f>Sheet1!$D$10:$J$10</c:f>
              <c:numCache>
                <c:formatCode>#,##0</c:formatCode>
                <c:ptCount val="6"/>
                <c:pt idx="0">
                  <c:v>4074870</c:v>
                </c:pt>
                <c:pt idx="1">
                  <c:v>3345928</c:v>
                </c:pt>
                <c:pt idx="2">
                  <c:v>3219992</c:v>
                </c:pt>
                <c:pt idx="3">
                  <c:v>971921</c:v>
                </c:pt>
                <c:pt idx="4" formatCode="#,##0_);\(#,##0\)">
                  <c:v>1032299</c:v>
                </c:pt>
                <c:pt idx="5">
                  <c:v>2277048</c:v>
                </c:pt>
              </c:numCache>
            </c:numRef>
          </c:val>
          <c:extLst>
            <c:ext xmlns:c16="http://schemas.microsoft.com/office/drawing/2014/chart" uri="{C3380CC4-5D6E-409C-BE32-E72D297353CC}">
              <c16:uniqueId val="{00000004-C1D0-42E5-A2EB-9CA3066F43F9}"/>
            </c:ext>
          </c:extLst>
        </c:ser>
        <c:dLbls>
          <c:showLegendKey val="0"/>
          <c:showVal val="0"/>
          <c:showCatName val="0"/>
          <c:showSerName val="0"/>
          <c:showPercent val="0"/>
          <c:showBubbleSize val="0"/>
        </c:dLbls>
        <c:gapWidth val="150"/>
        <c:overlap val="100"/>
        <c:axId val="119267599"/>
        <c:axId val="119268015"/>
      </c:barChart>
      <c:catAx>
        <c:axId val="119267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268015"/>
        <c:crosses val="autoZero"/>
        <c:auto val="1"/>
        <c:lblAlgn val="ctr"/>
        <c:lblOffset val="100"/>
        <c:noMultiLvlLbl val="0"/>
      </c:catAx>
      <c:valAx>
        <c:axId val="1192680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267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400" baseline="0"/>
              <a:t>Instruction </a:t>
            </a:r>
            <a:r>
              <a:rPr lang="en-CA" sz="1100" baseline="0"/>
              <a:t>($000)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6"/>
          <c:order val="0"/>
          <c:tx>
            <c:strRef>
              <c:f>Sheet1!$F$48</c:f>
              <c:strCache>
                <c:ptCount val="1"/>
                <c:pt idx="0">
                  <c:v>2018-19</c:v>
                </c:pt>
              </c:strCache>
            </c:strRef>
          </c:tx>
          <c:spPr>
            <a:solidFill>
              <a:schemeClr val="accent1">
                <a:lumMod val="60000"/>
              </a:schemeClr>
            </a:solidFill>
            <a:ln>
              <a:noFill/>
            </a:ln>
            <a:effectLst/>
          </c:spPr>
          <c:invertIfNegative val="0"/>
          <c:cat>
            <c:strRef>
              <c:f>Sheet1!$A$49:$A$51</c:f>
              <c:strCache>
                <c:ptCount val="3"/>
                <c:pt idx="0">
                  <c:v>Classroom Teachers</c:v>
                </c:pt>
                <c:pt idx="1">
                  <c:v>Supply Teachers</c:v>
                </c:pt>
                <c:pt idx="2">
                  <c:v>Early Childhood Educators</c:v>
                </c:pt>
              </c:strCache>
            </c:strRef>
          </c:cat>
          <c:val>
            <c:numRef>
              <c:f>Sheet1!$F$49:$F$51</c:f>
              <c:numCache>
                <c:formatCode>#,##0</c:formatCode>
                <c:ptCount val="3"/>
                <c:pt idx="0">
                  <c:v>42892</c:v>
                </c:pt>
                <c:pt idx="1">
                  <c:v>2166</c:v>
                </c:pt>
                <c:pt idx="2" formatCode="#,##0_);\(#,##0\)">
                  <c:v>3169</c:v>
                </c:pt>
              </c:numCache>
            </c:numRef>
          </c:val>
          <c:extLst>
            <c:ext xmlns:c16="http://schemas.microsoft.com/office/drawing/2014/chart" uri="{C3380CC4-5D6E-409C-BE32-E72D297353CC}">
              <c16:uniqueId val="{00000000-F51C-427F-BCF0-31903D3BD1D6}"/>
            </c:ext>
          </c:extLst>
        </c:ser>
        <c:ser>
          <c:idx val="7"/>
          <c:order val="1"/>
          <c:tx>
            <c:strRef>
              <c:f>Sheet1!$G$48</c:f>
              <c:strCache>
                <c:ptCount val="1"/>
                <c:pt idx="0">
                  <c:v>2019-20</c:v>
                </c:pt>
              </c:strCache>
            </c:strRef>
          </c:tx>
          <c:spPr>
            <a:solidFill>
              <a:schemeClr val="accent2">
                <a:lumMod val="60000"/>
              </a:schemeClr>
            </a:solidFill>
            <a:ln>
              <a:noFill/>
            </a:ln>
            <a:effectLst/>
          </c:spPr>
          <c:invertIfNegative val="0"/>
          <c:cat>
            <c:strRef>
              <c:f>Sheet1!$A$49:$A$51</c:f>
              <c:strCache>
                <c:ptCount val="3"/>
                <c:pt idx="0">
                  <c:v>Classroom Teachers</c:v>
                </c:pt>
                <c:pt idx="1">
                  <c:v>Supply Teachers</c:v>
                </c:pt>
                <c:pt idx="2">
                  <c:v>Early Childhood Educators</c:v>
                </c:pt>
              </c:strCache>
            </c:strRef>
          </c:cat>
          <c:val>
            <c:numRef>
              <c:f>Sheet1!$G$49:$G$51</c:f>
              <c:numCache>
                <c:formatCode>#,##0</c:formatCode>
                <c:ptCount val="3"/>
                <c:pt idx="0">
                  <c:v>42299</c:v>
                </c:pt>
                <c:pt idx="1">
                  <c:v>1731</c:v>
                </c:pt>
                <c:pt idx="2" formatCode="#,##0_);\(#,##0\)">
                  <c:v>1980</c:v>
                </c:pt>
              </c:numCache>
            </c:numRef>
          </c:val>
          <c:extLst>
            <c:ext xmlns:c16="http://schemas.microsoft.com/office/drawing/2014/chart" uri="{C3380CC4-5D6E-409C-BE32-E72D297353CC}">
              <c16:uniqueId val="{00000001-F51C-427F-BCF0-31903D3BD1D6}"/>
            </c:ext>
          </c:extLst>
        </c:ser>
        <c:ser>
          <c:idx val="0"/>
          <c:order val="2"/>
          <c:tx>
            <c:strRef>
              <c:f>Sheet1!$H$48</c:f>
              <c:strCache>
                <c:ptCount val="1"/>
                <c:pt idx="0">
                  <c:v>2020-21</c:v>
                </c:pt>
              </c:strCache>
            </c:strRef>
          </c:tx>
          <c:spPr>
            <a:solidFill>
              <a:schemeClr val="accent1"/>
            </a:solidFill>
            <a:ln>
              <a:noFill/>
            </a:ln>
            <a:effectLst/>
          </c:spPr>
          <c:invertIfNegative val="0"/>
          <c:cat>
            <c:strRef>
              <c:f>Sheet1!$A$49:$A$51</c:f>
              <c:strCache>
                <c:ptCount val="3"/>
                <c:pt idx="0">
                  <c:v>Classroom Teachers</c:v>
                </c:pt>
                <c:pt idx="1">
                  <c:v>Supply Teachers</c:v>
                </c:pt>
                <c:pt idx="2">
                  <c:v>Early Childhood Educators</c:v>
                </c:pt>
              </c:strCache>
            </c:strRef>
          </c:cat>
          <c:val>
            <c:numRef>
              <c:f>Sheet1!$H$49:$H$51</c:f>
              <c:numCache>
                <c:formatCode>#,##0</c:formatCode>
                <c:ptCount val="3"/>
                <c:pt idx="0">
                  <c:v>45048</c:v>
                </c:pt>
                <c:pt idx="1">
                  <c:v>3619</c:v>
                </c:pt>
                <c:pt idx="2" formatCode="#,##0_);\(#,##0\)">
                  <c:v>1950</c:v>
                </c:pt>
              </c:numCache>
            </c:numRef>
          </c:val>
          <c:extLst>
            <c:ext xmlns:c16="http://schemas.microsoft.com/office/drawing/2014/chart" uri="{C3380CC4-5D6E-409C-BE32-E72D297353CC}">
              <c16:uniqueId val="{00000002-F51C-427F-BCF0-31903D3BD1D6}"/>
            </c:ext>
          </c:extLst>
        </c:ser>
        <c:ser>
          <c:idx val="1"/>
          <c:order val="3"/>
          <c:tx>
            <c:strRef>
              <c:f>Sheet1!$I$48</c:f>
              <c:strCache>
                <c:ptCount val="1"/>
                <c:pt idx="0">
                  <c:v>2021-22 Revised</c:v>
                </c:pt>
              </c:strCache>
            </c:strRef>
          </c:tx>
          <c:spPr>
            <a:solidFill>
              <a:schemeClr val="accent2"/>
            </a:solidFill>
            <a:ln>
              <a:noFill/>
            </a:ln>
            <a:effectLst/>
          </c:spPr>
          <c:invertIfNegative val="0"/>
          <c:cat>
            <c:strRef>
              <c:f>Sheet1!$A$49:$A$51</c:f>
              <c:strCache>
                <c:ptCount val="3"/>
                <c:pt idx="0">
                  <c:v>Classroom Teachers</c:v>
                </c:pt>
                <c:pt idx="1">
                  <c:v>Supply Teachers</c:v>
                </c:pt>
                <c:pt idx="2">
                  <c:v>Early Childhood Educators</c:v>
                </c:pt>
              </c:strCache>
            </c:strRef>
          </c:cat>
          <c:val>
            <c:numRef>
              <c:f>Sheet1!$I$49:$I$51</c:f>
              <c:numCache>
                <c:formatCode>#,##0</c:formatCode>
                <c:ptCount val="3"/>
                <c:pt idx="0">
                  <c:v>47354</c:v>
                </c:pt>
                <c:pt idx="1">
                  <c:v>3645</c:v>
                </c:pt>
                <c:pt idx="2" formatCode="#,##0_);\(#,##0\)">
                  <c:v>2105</c:v>
                </c:pt>
              </c:numCache>
            </c:numRef>
          </c:val>
          <c:extLst>
            <c:ext xmlns:c16="http://schemas.microsoft.com/office/drawing/2014/chart" uri="{C3380CC4-5D6E-409C-BE32-E72D297353CC}">
              <c16:uniqueId val="{00000003-F51C-427F-BCF0-31903D3BD1D6}"/>
            </c:ext>
          </c:extLst>
        </c:ser>
        <c:ser>
          <c:idx val="2"/>
          <c:order val="4"/>
          <c:tx>
            <c:strRef>
              <c:f>Sheet1!$J$48</c:f>
              <c:strCache>
                <c:ptCount val="1"/>
                <c:pt idx="0">
                  <c:v>2022-23 Estimates</c:v>
                </c:pt>
              </c:strCache>
            </c:strRef>
          </c:tx>
          <c:spPr>
            <a:solidFill>
              <a:schemeClr val="accent3"/>
            </a:solidFill>
            <a:ln>
              <a:noFill/>
            </a:ln>
            <a:effectLst/>
          </c:spPr>
          <c:invertIfNegative val="0"/>
          <c:cat>
            <c:strRef>
              <c:f>Sheet1!$A$49:$A$51</c:f>
              <c:strCache>
                <c:ptCount val="3"/>
                <c:pt idx="0">
                  <c:v>Classroom Teachers</c:v>
                </c:pt>
                <c:pt idx="1">
                  <c:v>Supply Teachers</c:v>
                </c:pt>
                <c:pt idx="2">
                  <c:v>Early Childhood Educators</c:v>
                </c:pt>
              </c:strCache>
            </c:strRef>
          </c:cat>
          <c:val>
            <c:numRef>
              <c:f>Sheet1!$J$49:$J$51</c:f>
              <c:numCache>
                <c:formatCode>#,##0</c:formatCode>
                <c:ptCount val="3"/>
                <c:pt idx="0">
                  <c:v>46582</c:v>
                </c:pt>
                <c:pt idx="1">
                  <c:v>3185</c:v>
                </c:pt>
                <c:pt idx="2" formatCode="#,##0_);\(#,##0\)">
                  <c:v>2058</c:v>
                </c:pt>
              </c:numCache>
            </c:numRef>
          </c:val>
          <c:extLst>
            <c:ext xmlns:c16="http://schemas.microsoft.com/office/drawing/2014/chart" uri="{C3380CC4-5D6E-409C-BE32-E72D297353CC}">
              <c16:uniqueId val="{00000004-F51C-427F-BCF0-31903D3BD1D6}"/>
            </c:ext>
          </c:extLst>
        </c:ser>
        <c:dLbls>
          <c:showLegendKey val="0"/>
          <c:showVal val="0"/>
          <c:showCatName val="0"/>
          <c:showSerName val="0"/>
          <c:showPercent val="0"/>
          <c:showBubbleSize val="0"/>
        </c:dLbls>
        <c:gapWidth val="182"/>
        <c:axId val="122171263"/>
        <c:axId val="122170015"/>
      </c:barChart>
      <c:catAx>
        <c:axId val="1221712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170015"/>
        <c:crosses val="autoZero"/>
        <c:auto val="1"/>
        <c:lblAlgn val="ctr"/>
        <c:lblOffset val="100"/>
        <c:noMultiLvlLbl val="0"/>
      </c:catAx>
      <c:valAx>
        <c:axId val="1221700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171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0.68075</cdr:x>
      <cdr:y>0.29225</cdr:y>
    </cdr:from>
    <cdr:to>
      <cdr:x>0.72025</cdr:x>
      <cdr:y>0.32325</cdr:y>
    </cdr:to>
    <cdr:sp macro="" textlink="">
      <cdr:nvSpPr>
        <cdr:cNvPr id="70657" name="Text Box 1"/>
        <cdr:cNvSpPr txBox="1">
          <a:spLocks xmlns:a="http://schemas.openxmlformats.org/drawingml/2006/main" noChangeArrowheads="1"/>
        </cdr:cNvSpPr>
      </cdr:nvSpPr>
      <cdr:spPr bwMode="auto">
        <a:xfrm xmlns:a="http://schemas.openxmlformats.org/drawingml/2006/main">
          <a:off x="7718141" y="1706649"/>
          <a:ext cx="447346" cy="18041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endParaRPr lang="en-CA"/>
        </a:p>
      </cdr:txBody>
    </cdr:sp>
  </cdr:relSizeAnchor>
  <cdr:relSizeAnchor xmlns:cdr="http://schemas.openxmlformats.org/drawingml/2006/chartDrawing">
    <cdr:from>
      <cdr:x>0.753</cdr:x>
      <cdr:y>0.3085</cdr:y>
    </cdr:from>
    <cdr:to>
      <cdr:x>0.75464</cdr:x>
      <cdr:y>0.34259</cdr:y>
    </cdr:to>
    <cdr:sp macro="" textlink="">
      <cdr:nvSpPr>
        <cdr:cNvPr id="70658" name="Text Box 2"/>
        <cdr:cNvSpPr txBox="1">
          <a:spLocks xmlns:a="http://schemas.openxmlformats.org/drawingml/2006/main" noChangeArrowheads="1"/>
        </cdr:cNvSpPr>
      </cdr:nvSpPr>
      <cdr:spPr bwMode="auto">
        <a:xfrm xmlns:a="http://schemas.openxmlformats.org/drawingml/2006/main">
          <a:off x="8523372" y="1840150"/>
          <a:ext cx="18531" cy="19531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22860" rIns="0" bIns="0" anchor="t" upright="1">
          <a:spAutoFit/>
        </a:bodyPr>
        <a:lstStyle xmlns:a="http://schemas.openxmlformats.org/drawingml/2006/main"/>
        <a:p xmlns:a="http://schemas.openxmlformats.org/drawingml/2006/main">
          <a:endParaRPr lang="en-CA"/>
        </a:p>
      </cdr:txBody>
    </cdr:sp>
  </cdr:relSizeAnchor>
  <cdr:relSizeAnchor xmlns:cdr="http://schemas.openxmlformats.org/drawingml/2006/chartDrawing">
    <cdr:from>
      <cdr:x>0.82975</cdr:x>
      <cdr:y>0.32325</cdr:y>
    </cdr:from>
    <cdr:to>
      <cdr:x>0.911</cdr:x>
      <cdr:y>0.35725</cdr:y>
    </cdr:to>
    <cdr:sp macro="" textlink="">
      <cdr:nvSpPr>
        <cdr:cNvPr id="70659" name="Text Box 3"/>
        <cdr:cNvSpPr txBox="1">
          <a:spLocks xmlns:a="http://schemas.openxmlformats.org/drawingml/2006/main" noChangeArrowheads="1"/>
        </cdr:cNvSpPr>
      </cdr:nvSpPr>
      <cdr:spPr bwMode="auto">
        <a:xfrm xmlns:a="http://schemas.openxmlformats.org/drawingml/2006/main">
          <a:off x="9411262" y="1887062"/>
          <a:ext cx="914512" cy="19932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endParaRPr lang="en-CA" sz="1000" b="0" i="0" u="none" strike="noStrike" baseline="0">
            <a:solidFill>
              <a:srgbClr val="000000"/>
            </a:solidFill>
            <a:latin typeface="Arial"/>
            <a:cs typeface="Arial"/>
          </a:endParaRPr>
        </a:p>
        <a:p xmlns:a="http://schemas.openxmlformats.org/drawingml/2006/main">
          <a:pPr algn="l" rtl="0">
            <a:defRPr sz="1000"/>
          </a:pPr>
          <a:endParaRPr lang="en-CA"/>
        </a:p>
      </cdr:txBody>
    </cdr:sp>
  </cdr:relSizeAnchor>
</c:userShapes>
</file>

<file path=word/drawings/drawing2.xml><?xml version="1.0" encoding="utf-8"?>
<c:userShapes xmlns:c="http://schemas.openxmlformats.org/drawingml/2006/chart">
  <cdr:relSizeAnchor xmlns:cdr="http://schemas.openxmlformats.org/drawingml/2006/chartDrawing">
    <cdr:from>
      <cdr:x>0.90975</cdr:x>
      <cdr:y>0.2435</cdr:y>
    </cdr:from>
    <cdr:to>
      <cdr:x>0.91975</cdr:x>
      <cdr:y>0.27975</cdr:y>
    </cdr:to>
    <cdr:sp macro="" textlink="">
      <cdr:nvSpPr>
        <cdr:cNvPr id="26626" name="Text Box 2"/>
        <cdr:cNvSpPr txBox="1">
          <a:spLocks xmlns:a="http://schemas.openxmlformats.org/drawingml/2006/main" noChangeArrowheads="1"/>
        </cdr:cNvSpPr>
      </cdr:nvSpPr>
      <cdr:spPr bwMode="auto">
        <a:xfrm xmlns:a="http://schemas.openxmlformats.org/drawingml/2006/main">
          <a:off x="7764292" y="1422935"/>
          <a:ext cx="85439" cy="209512"/>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a:lstStyle xmlns:a="http://schemas.openxmlformats.org/drawingml/2006/main"/>
        <a:p xmlns:a="http://schemas.openxmlformats.org/drawingml/2006/main">
          <a:endParaRPr lang="en-CA"/>
        </a:p>
      </cdr:txBody>
    </cdr:sp>
  </cdr:relSizeAnchor>
  <cdr:relSizeAnchor xmlns:cdr="http://schemas.openxmlformats.org/drawingml/2006/chartDrawing">
    <cdr:from>
      <cdr:x>0.85928</cdr:x>
      <cdr:y>0.36715</cdr:y>
    </cdr:from>
    <cdr:to>
      <cdr:x>1</cdr:x>
      <cdr:y>0.41847</cdr:y>
    </cdr:to>
    <cdr:sp macro="" textlink="">
      <cdr:nvSpPr>
        <cdr:cNvPr id="26627" name="Text Box 3"/>
        <cdr:cNvSpPr txBox="1">
          <a:spLocks xmlns:a="http://schemas.openxmlformats.org/drawingml/2006/main" noChangeArrowheads="1"/>
        </cdr:cNvSpPr>
      </cdr:nvSpPr>
      <cdr:spPr bwMode="auto">
        <a:xfrm xmlns:a="http://schemas.openxmlformats.org/drawingml/2006/main">
          <a:off x="5107229" y="1484191"/>
          <a:ext cx="836371" cy="20744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a:lstStyle xmlns:a="http://schemas.openxmlformats.org/drawingml/2006/main"/>
        <a:p xmlns:a="http://schemas.openxmlformats.org/drawingml/2006/main">
          <a:r>
            <a:rPr lang="en-CA"/>
            <a:t>Estimates</a:t>
          </a:r>
        </a:p>
      </cdr:txBody>
    </cdr:sp>
  </cdr:relSizeAnchor>
  <cdr:relSizeAnchor xmlns:cdr="http://schemas.openxmlformats.org/drawingml/2006/chartDrawing">
    <cdr:from>
      <cdr:x>0.75475</cdr:x>
      <cdr:y>0.34</cdr:y>
    </cdr:from>
    <cdr:to>
      <cdr:x>0.75691</cdr:x>
      <cdr:y>0.39611</cdr:y>
    </cdr:to>
    <cdr:sp macro="" textlink="">
      <cdr:nvSpPr>
        <cdr:cNvPr id="26628" name="Text Box 4"/>
        <cdr:cNvSpPr txBox="1">
          <a:spLocks xmlns:a="http://schemas.openxmlformats.org/drawingml/2006/main" noChangeArrowheads="1"/>
        </cdr:cNvSpPr>
      </cdr:nvSpPr>
      <cdr:spPr bwMode="auto">
        <a:xfrm xmlns:a="http://schemas.openxmlformats.org/drawingml/2006/main">
          <a:off x="6470094" y="1981962"/>
          <a:ext cx="18531" cy="32707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endParaRPr lang="en-CA" sz="1000" b="0" i="0" u="none" strike="noStrike" baseline="0">
            <a:solidFill>
              <a:srgbClr val="000000"/>
            </a:solidFill>
            <a:latin typeface="Arial"/>
            <a:cs typeface="Arial"/>
          </a:endParaRPr>
        </a:p>
        <a:p xmlns:a="http://schemas.openxmlformats.org/drawingml/2006/main">
          <a:pPr algn="l" rtl="0">
            <a:defRPr sz="1000"/>
          </a:pPr>
          <a:endParaRPr lang="en-CA"/>
        </a:p>
      </cdr:txBody>
    </cdr:sp>
  </cdr:relSizeAnchor>
  <cdr:relSizeAnchor xmlns:cdr="http://schemas.openxmlformats.org/drawingml/2006/chartDrawing">
    <cdr:from>
      <cdr:x>0.838</cdr:x>
      <cdr:y>0.34075</cdr:y>
    </cdr:from>
    <cdr:to>
      <cdr:x>0.84016</cdr:x>
      <cdr:y>0.37534</cdr:y>
    </cdr:to>
    <cdr:sp macro="" textlink="">
      <cdr:nvSpPr>
        <cdr:cNvPr id="26629" name="Text Box 5"/>
        <cdr:cNvSpPr txBox="1">
          <a:spLocks xmlns:a="http://schemas.openxmlformats.org/drawingml/2006/main" noChangeArrowheads="1"/>
        </cdr:cNvSpPr>
      </cdr:nvSpPr>
      <cdr:spPr bwMode="auto">
        <a:xfrm xmlns:a="http://schemas.openxmlformats.org/drawingml/2006/main">
          <a:off x="7188076" y="2058177"/>
          <a:ext cx="18531" cy="19531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22860" rIns="0" bIns="0" anchor="t" upright="1">
          <a:spAutoFit/>
        </a:bodyPr>
        <a:lstStyle xmlns:a="http://schemas.openxmlformats.org/drawingml/2006/main"/>
        <a:p xmlns:a="http://schemas.openxmlformats.org/drawingml/2006/main">
          <a:endParaRPr lang="en-CA"/>
        </a:p>
      </cdr:txBody>
    </cdr:sp>
  </cdr:relSizeAnchor>
  <cdr:relSizeAnchor xmlns:cdr="http://schemas.openxmlformats.org/drawingml/2006/chartDrawing">
    <cdr:from>
      <cdr:x>0.71556</cdr:x>
      <cdr:y>0.36222</cdr:y>
    </cdr:from>
    <cdr:to>
      <cdr:x>0.80385</cdr:x>
      <cdr:y>0.41093</cdr:y>
    </cdr:to>
    <cdr:sp macro="" textlink="">
      <cdr:nvSpPr>
        <cdr:cNvPr id="26630" name="Text Box 6"/>
        <cdr:cNvSpPr txBox="1">
          <a:spLocks xmlns:a="http://schemas.openxmlformats.org/drawingml/2006/main" noChangeArrowheads="1"/>
        </cdr:cNvSpPr>
      </cdr:nvSpPr>
      <cdr:spPr bwMode="auto">
        <a:xfrm xmlns:a="http://schemas.openxmlformats.org/drawingml/2006/main">
          <a:off x="4252984" y="1464223"/>
          <a:ext cx="524756" cy="19693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CA" sz="1000" b="0" i="0" u="none" strike="noStrike" baseline="0">
              <a:solidFill>
                <a:srgbClr val="000000"/>
              </a:solidFill>
              <a:latin typeface="Arial"/>
              <a:cs typeface="Arial"/>
            </a:rPr>
            <a:t>Revised</a:t>
          </a:r>
        </a:p>
        <a:p xmlns:a="http://schemas.openxmlformats.org/drawingml/2006/main">
          <a:pPr algn="l" rtl="0">
            <a:defRPr sz="1000"/>
          </a:pPr>
          <a:endParaRPr lang="en-CA" sz="1000" b="0" i="0" u="none" strike="noStrike" baseline="0">
            <a:solidFill>
              <a:srgbClr val="000000"/>
            </a:solidFill>
            <a:latin typeface="Arial"/>
            <a:cs typeface="Arial"/>
          </a:endParaRPr>
        </a:p>
        <a:p xmlns:a="http://schemas.openxmlformats.org/drawingml/2006/main">
          <a:pPr algn="l" rtl="0">
            <a:defRPr sz="1000"/>
          </a:pPr>
          <a:endParaRPr lang="en-CA"/>
        </a:p>
      </cdr:txBody>
    </cdr:sp>
  </cdr:relSizeAnchor>
  <cdr:relSizeAnchor xmlns:cdr="http://schemas.openxmlformats.org/drawingml/2006/chartDrawing">
    <cdr:from>
      <cdr:x>0.81983</cdr:x>
      <cdr:y>0.38646</cdr:y>
    </cdr:from>
    <cdr:to>
      <cdr:x>0.9078</cdr:x>
      <cdr:y>0.43513</cdr:y>
    </cdr:to>
    <cdr:sp macro="" textlink="">
      <cdr:nvSpPr>
        <cdr:cNvPr id="2" name="TextBox 1"/>
        <cdr:cNvSpPr txBox="1"/>
      </cdr:nvSpPr>
      <cdr:spPr>
        <a:xfrm xmlns:a="http://schemas.openxmlformats.org/drawingml/2006/main">
          <a:off x="7036868" y="2321859"/>
          <a:ext cx="745356" cy="2748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1000">
            <a:latin typeface="Arial" panose="020B0604020202020204" pitchFamily="34" charset="0"/>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0.9205</cdr:x>
      <cdr:y>0.40725</cdr:y>
    </cdr:from>
    <cdr:to>
      <cdr:x>0.9615</cdr:x>
      <cdr:y>0.44775</cdr:y>
    </cdr:to>
    <cdr:sp macro="" textlink="">
      <cdr:nvSpPr>
        <cdr:cNvPr id="52225" name="Text Box 1"/>
        <cdr:cNvSpPr txBox="1">
          <a:spLocks xmlns:a="http://schemas.openxmlformats.org/drawingml/2006/main" noChangeArrowheads="1"/>
        </cdr:cNvSpPr>
      </cdr:nvSpPr>
      <cdr:spPr bwMode="auto">
        <a:xfrm xmlns:a="http://schemas.openxmlformats.org/drawingml/2006/main">
          <a:off x="7871091" y="2386108"/>
          <a:ext cx="352437" cy="23861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a:lstStyle xmlns:a="http://schemas.openxmlformats.org/drawingml/2006/main"/>
        <a:p xmlns:a="http://schemas.openxmlformats.org/drawingml/2006/main">
          <a:endParaRPr lang="en-CA"/>
        </a:p>
      </cdr:txBody>
    </cdr:sp>
  </cdr:relSizeAnchor>
  <cdr:relSizeAnchor xmlns:cdr="http://schemas.openxmlformats.org/drawingml/2006/chartDrawing">
    <cdr:from>
      <cdr:x>0.75875</cdr:x>
      <cdr:y>0.38275</cdr:y>
    </cdr:from>
    <cdr:to>
      <cdr:x>0.76092</cdr:x>
      <cdr:y>0.41709</cdr:y>
    </cdr:to>
    <cdr:sp macro="" textlink="">
      <cdr:nvSpPr>
        <cdr:cNvPr id="52226" name="Text Box 2"/>
        <cdr:cNvSpPr txBox="1">
          <a:spLocks xmlns:a="http://schemas.openxmlformats.org/drawingml/2006/main" noChangeArrowheads="1"/>
        </cdr:cNvSpPr>
      </cdr:nvSpPr>
      <cdr:spPr bwMode="auto">
        <a:xfrm xmlns:a="http://schemas.openxmlformats.org/drawingml/2006/main">
          <a:off x="6488542" y="2298007"/>
          <a:ext cx="18531" cy="19531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22860" rIns="0" bIns="0" anchor="t" upright="1">
          <a:spAutoFit/>
        </a:bodyPr>
        <a:lstStyle xmlns:a="http://schemas.openxmlformats.org/drawingml/2006/main"/>
        <a:p xmlns:a="http://schemas.openxmlformats.org/drawingml/2006/main">
          <a:endParaRPr lang="en-CA"/>
        </a:p>
      </cdr:txBody>
    </cdr:sp>
  </cdr:relSizeAnchor>
  <cdr:relSizeAnchor xmlns:cdr="http://schemas.openxmlformats.org/drawingml/2006/chartDrawing">
    <cdr:from>
      <cdr:x>0.832</cdr:x>
      <cdr:y>0.41075</cdr:y>
    </cdr:from>
    <cdr:to>
      <cdr:x>0.83416</cdr:x>
      <cdr:y>0.46302</cdr:y>
    </cdr:to>
    <cdr:sp macro="" textlink="">
      <cdr:nvSpPr>
        <cdr:cNvPr id="52227" name="Text Box 3"/>
        <cdr:cNvSpPr txBox="1">
          <a:spLocks xmlns:a="http://schemas.openxmlformats.org/drawingml/2006/main" noChangeArrowheads="1"/>
        </cdr:cNvSpPr>
      </cdr:nvSpPr>
      <cdr:spPr bwMode="auto">
        <a:xfrm xmlns:a="http://schemas.openxmlformats.org/drawingml/2006/main">
          <a:off x="7140245" y="2398297"/>
          <a:ext cx="18531" cy="305212"/>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lnSpc>
              <a:spcPts val="1100"/>
            </a:lnSpc>
            <a:defRPr sz="1000"/>
          </a:pPr>
          <a:endParaRPr lang="en-CA" sz="1000" b="0" i="0" u="none" strike="noStrike" baseline="0">
            <a:solidFill>
              <a:srgbClr val="000000"/>
            </a:solidFill>
            <a:latin typeface="Arial"/>
            <a:cs typeface="Arial"/>
          </a:endParaRPr>
        </a:p>
        <a:p xmlns:a="http://schemas.openxmlformats.org/drawingml/2006/main">
          <a:pPr algn="l" rtl="0">
            <a:lnSpc>
              <a:spcPts val="1100"/>
            </a:lnSpc>
            <a:defRPr sz="1000"/>
          </a:pPr>
          <a:endParaRPr lang="en-CA"/>
        </a:p>
      </cdr:txBody>
    </cdr:sp>
  </cdr:relSizeAnchor>
  <cdr:relSizeAnchor xmlns:cdr="http://schemas.openxmlformats.org/drawingml/2006/chartDrawing">
    <cdr:from>
      <cdr:x>0.75408</cdr:x>
      <cdr:y>0.59478</cdr:y>
    </cdr:from>
    <cdr:to>
      <cdr:x>0.82963</cdr:x>
      <cdr:y>0.64488</cdr:y>
    </cdr:to>
    <cdr:sp macro="" textlink="">
      <cdr:nvSpPr>
        <cdr:cNvPr id="52228" name="Text Box 4"/>
        <cdr:cNvSpPr txBox="1">
          <a:spLocks xmlns:a="http://schemas.openxmlformats.org/drawingml/2006/main" noChangeArrowheads="1"/>
        </cdr:cNvSpPr>
      </cdr:nvSpPr>
      <cdr:spPr bwMode="auto">
        <a:xfrm xmlns:a="http://schemas.openxmlformats.org/drawingml/2006/main">
          <a:off x="6464319" y="3467134"/>
          <a:ext cx="647652" cy="29204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22860" rIns="0" bIns="0" anchor="t" upright="1">
          <a:noAutofit/>
        </a:bodyPr>
        <a:lstStyle xmlns:a="http://schemas.openxmlformats.org/drawingml/2006/main"/>
        <a:p xmlns:a="http://schemas.openxmlformats.org/drawingml/2006/main">
          <a:pPr algn="l" rtl="0">
            <a:lnSpc>
              <a:spcPts val="1100"/>
            </a:lnSpc>
            <a:defRPr sz="1000"/>
          </a:pPr>
          <a:r>
            <a:rPr lang="en-CA" sz="1000" b="0" i="0" u="none" strike="noStrike" baseline="0">
              <a:solidFill>
                <a:srgbClr val="000000"/>
              </a:solidFill>
              <a:latin typeface="Arial"/>
              <a:cs typeface="Arial"/>
            </a:rPr>
            <a:t>Revised</a:t>
          </a:r>
        </a:p>
        <a:p xmlns:a="http://schemas.openxmlformats.org/drawingml/2006/main">
          <a:pPr algn="l" rtl="0">
            <a:lnSpc>
              <a:spcPts val="1100"/>
            </a:lnSpc>
            <a:defRPr sz="1000"/>
          </a:pPr>
          <a:endParaRPr lang="en-CA" sz="1000" baseline="0"/>
        </a:p>
      </cdr:txBody>
    </cdr:sp>
  </cdr:relSizeAnchor>
  <cdr:relSizeAnchor xmlns:cdr="http://schemas.openxmlformats.org/drawingml/2006/chartDrawing">
    <cdr:from>
      <cdr:x>0.8168</cdr:x>
      <cdr:y>0.47027</cdr:y>
    </cdr:from>
    <cdr:to>
      <cdr:x>0.8916</cdr:x>
      <cdr:y>0.5358</cdr:y>
    </cdr:to>
    <cdr:sp macro="" textlink="">
      <cdr:nvSpPr>
        <cdr:cNvPr id="2" name="TextBox 1"/>
        <cdr:cNvSpPr txBox="1"/>
      </cdr:nvSpPr>
      <cdr:spPr>
        <a:xfrm xmlns:a="http://schemas.openxmlformats.org/drawingml/2006/main">
          <a:off x="7001949" y="2805232"/>
          <a:ext cx="645700" cy="3748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800"/>
            </a:lnSpc>
          </a:pPr>
          <a:endParaRPr lang="en-CA" sz="800">
            <a:latin typeface="Arial" panose="020B0604020202020204" pitchFamily="34" charset="0"/>
            <a:cs typeface="Arial" panose="020B0604020202020204" pitchFamily="34" charset="0"/>
          </a:endParaRPr>
        </a:p>
        <a:p xmlns:a="http://schemas.openxmlformats.org/drawingml/2006/main">
          <a:pPr>
            <a:lnSpc>
              <a:spcPts val="1200"/>
            </a:lnSpc>
          </a:pPr>
          <a:endParaRPr lang="en-CA" sz="1100"/>
        </a:p>
      </cdr:txBody>
    </cdr:sp>
  </cdr:relSizeAnchor>
  <cdr:relSizeAnchor xmlns:cdr="http://schemas.openxmlformats.org/drawingml/2006/chartDrawing">
    <cdr:from>
      <cdr:x>0.89184</cdr:x>
      <cdr:y>0.56863</cdr:y>
    </cdr:from>
    <cdr:to>
      <cdr:x>0.97629</cdr:x>
      <cdr:y>0.62527</cdr:y>
    </cdr:to>
    <cdr:sp macro="" textlink="">
      <cdr:nvSpPr>
        <cdr:cNvPr id="3" name="TextBox 2">
          <a:extLst xmlns:a="http://schemas.openxmlformats.org/drawingml/2006/main">
            <a:ext uri="{FF2B5EF4-FFF2-40B4-BE49-F238E27FC236}">
              <a16:creationId xmlns:a16="http://schemas.microsoft.com/office/drawing/2014/main" id="{C9AC736E-7631-49D9-835A-966655F9F775}"/>
            </a:ext>
          </a:extLst>
        </cdr:cNvPr>
        <cdr:cNvSpPr txBox="1"/>
      </cdr:nvSpPr>
      <cdr:spPr>
        <a:xfrm xmlns:a="http://schemas.openxmlformats.org/drawingml/2006/main">
          <a:off x="7645298" y="3314737"/>
          <a:ext cx="723948" cy="33017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CA" sz="1000" baseline="0">
              <a:latin typeface="Arial" panose="020B0604020202020204" pitchFamily="34" charset="0"/>
              <a:cs typeface="Arial" panose="020B0604020202020204" pitchFamily="34" charset="0"/>
            </a:rPr>
            <a:t>Estimates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9030F4AD9B26488A07F9AE76DE4C6F" ma:contentTypeVersion="12" ma:contentTypeDescription="Create a new document." ma:contentTypeScope="" ma:versionID="0cf29ba0a430421df2df1fd5bbddb37f">
  <xsd:schema xmlns:xsd="http://www.w3.org/2001/XMLSchema" xmlns:xs="http://www.w3.org/2001/XMLSchema" xmlns:p="http://schemas.microsoft.com/office/2006/metadata/properties" xmlns:ns3="78813475-a0c6-4c3b-af07-e0d13e2b6bb8" xmlns:ns4="a14fa615-7c74-4e57-9c75-58d0997a9d11" targetNamespace="http://schemas.microsoft.com/office/2006/metadata/properties" ma:root="true" ma:fieldsID="e1ede7caf3e520b665319575d2dd54d8" ns3:_="" ns4:_="">
    <xsd:import namespace="78813475-a0c6-4c3b-af07-e0d13e2b6bb8"/>
    <xsd:import namespace="a14fa615-7c74-4e57-9c75-58d0997a9d11"/>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13475-a0c6-4c3b-af07-e0d13e2b6b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fa615-7c74-4e57-9c75-58d0997a9d1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AA0936-F68C-4201-9CCC-08EE9A20C967}">
  <ds:schemaRefs>
    <ds:schemaRef ds:uri="http://schemas.microsoft.com/sharepoint/v3/contenttype/forms"/>
  </ds:schemaRefs>
</ds:datastoreItem>
</file>

<file path=customXml/itemProps2.xml><?xml version="1.0" encoding="utf-8"?>
<ds:datastoreItem xmlns:ds="http://schemas.openxmlformats.org/officeDocument/2006/customXml" ds:itemID="{E92FE1C9-2D72-460D-BD71-4F86FBCE7FCA}">
  <ds:schemaRefs>
    <ds:schemaRef ds:uri="http://schemas.openxmlformats.org/officeDocument/2006/bibliography"/>
  </ds:schemaRefs>
</ds:datastoreItem>
</file>

<file path=customXml/itemProps3.xml><?xml version="1.0" encoding="utf-8"?>
<ds:datastoreItem xmlns:ds="http://schemas.openxmlformats.org/officeDocument/2006/customXml" ds:itemID="{8E45E8F8-D596-4DAF-9CE6-9363C16E2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13475-a0c6-4c3b-af07-e0d13e2b6bb8"/>
    <ds:schemaRef ds:uri="a14fa615-7c74-4e57-9c75-58d0997a9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B317F6-D12A-46DE-B454-820675D400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29</Pages>
  <Words>7151</Words>
  <Characters>40763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SCDSB</Company>
  <LinksUpToDate>false</LinksUpToDate>
  <CharactersWithSpaces>47819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Geverding</dc:creator>
  <cp:keywords/>
  <dc:description/>
  <cp:lastModifiedBy>Cheryl Ann Corallo</cp:lastModifiedBy>
  <cp:revision>27</cp:revision>
  <cp:lastPrinted>2022-05-28T13:27:00Z</cp:lastPrinted>
  <dcterms:created xsi:type="dcterms:W3CDTF">2022-05-29T17:24:00Z</dcterms:created>
  <dcterms:modified xsi:type="dcterms:W3CDTF">2022-06-03T03:17:00Z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0x0101005D9030F4AD9B26488A07F9AE76DE4C6F</vt:lpwstr>
  </property>
</Properties>
</file>